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29.xml" ContentType="application/vnd.openxmlformats-officedocument.drawingml.chart+xml"/>
  <Override PartName="/word/charts/chart3.xml" ContentType="application/vnd.openxmlformats-officedocument.drawingml.chart+xml"/>
  <Override PartName="/word/charts/chart30.xml" ContentType="application/vnd.openxmlformats-officedocument.drawingml.chart+xml"/>
  <Override PartName="/word/charts/chart31.xml" ContentType="application/vnd.openxmlformats-officedocument.drawingml.chart+xml"/>
  <Override PartName="/word/charts/chart32.xml" ContentType="application/vnd.openxmlformats-officedocument.drawingml.chart+xml"/>
  <Override PartName="/word/charts/chart33.xml" ContentType="application/vnd.openxmlformats-officedocument.drawingml.chart+xml"/>
  <Override PartName="/word/charts/chart34.xml" ContentType="application/vnd.openxmlformats-officedocument.drawingml.chart+xml"/>
  <Override PartName="/word/charts/chart35.xml" ContentType="application/vnd.openxmlformats-officedocument.drawingml.chart+xml"/>
  <Override PartName="/word/charts/chart36.xml" ContentType="application/vnd.openxmlformats-officedocument.drawingml.chart+xml"/>
  <Override PartName="/word/charts/chart37.xml" ContentType="application/vnd.openxmlformats-officedocument.drawingml.chart+xml"/>
  <Override PartName="/word/charts/chart38.xml" ContentType="application/vnd.openxmlformats-officedocument.drawingml.chart+xml"/>
  <Override PartName="/word/charts/chart39.xml" ContentType="application/vnd.openxmlformats-officedocument.drawingml.chart+xml"/>
  <Override PartName="/word/charts/chart4.xml" ContentType="application/vnd.openxmlformats-officedocument.drawingml.chart+xml"/>
  <Override PartName="/word/charts/chart40.xml" ContentType="application/vnd.openxmlformats-officedocument.drawingml.chart+xml"/>
  <Override PartName="/word/charts/chart41.xml" ContentType="application/vnd.openxmlformats-officedocument.drawingml.chart+xml"/>
  <Override PartName="/word/charts/chart42.xml" ContentType="application/vnd.openxmlformats-officedocument.drawingml.chart+xml"/>
  <Override PartName="/word/charts/chart43.xml" ContentType="application/vnd.openxmlformats-officedocument.drawingml.chart+xml"/>
  <Override PartName="/word/charts/chart44.xml" ContentType="application/vnd.openxmlformats-officedocument.drawingml.chart+xml"/>
  <Override PartName="/word/charts/chart45.xml" ContentType="application/vnd.openxmlformats-officedocument.drawingml.chart+xml"/>
  <Override PartName="/word/charts/chart46.xml" ContentType="application/vnd.openxmlformats-officedocument.drawingml.chart+xml"/>
  <Override PartName="/word/charts/chart47.xml" ContentType="application/vnd.openxmlformats-officedocument.drawingml.chart+xml"/>
  <Override PartName="/word/charts/chart48.xml" ContentType="application/vnd.openxmlformats-officedocument.drawingml.chart+xml"/>
  <Override PartName="/word/charts/chart49.xml" ContentType="application/vnd.openxmlformats-officedocument.drawingml.chart+xml"/>
  <Override PartName="/word/charts/chart5.xml" ContentType="application/vnd.openxmlformats-officedocument.drawingml.chart+xml"/>
  <Override PartName="/word/charts/chart50.xml" ContentType="application/vnd.openxmlformats-officedocument.drawingml.chart+xml"/>
  <Override PartName="/word/charts/chart51.xml" ContentType="application/vnd.openxmlformats-officedocument.drawingml.chart+xml"/>
  <Override PartName="/word/charts/chart52.xml" ContentType="application/vnd.openxmlformats-officedocument.drawingml.chart+xml"/>
  <Override PartName="/word/charts/chart53.xml" ContentType="application/vnd.openxmlformats-officedocument.drawingml.chart+xml"/>
  <Override PartName="/word/charts/chart54.xml" ContentType="application/vnd.openxmlformats-officedocument.drawingml.chart+xml"/>
  <Override PartName="/word/charts/chart55.xml" ContentType="application/vnd.openxmlformats-officedocument.drawingml.chart+xml"/>
  <Override PartName="/word/charts/chart56.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10.xml" ContentType="application/vnd.openxmlformats-officedocument.themeOverride+xml"/>
  <Override PartName="/word/theme/themeOverride11.xml" ContentType="application/vnd.openxmlformats-officedocument.themeOverride+xml"/>
  <Override PartName="/word/theme/themeOverride12.xml" ContentType="application/vnd.openxmlformats-officedocument.themeOverride+xml"/>
  <Override PartName="/word/theme/themeOverride13.xml" ContentType="application/vnd.openxmlformats-officedocument.themeOverride+xml"/>
  <Override PartName="/word/theme/themeOverride14.xml" ContentType="application/vnd.openxmlformats-officedocument.themeOverride+xml"/>
  <Override PartName="/word/theme/themeOverride15.xml" ContentType="application/vnd.openxmlformats-officedocument.themeOverride+xml"/>
  <Override PartName="/word/theme/themeOverride16.xml" ContentType="application/vnd.openxmlformats-officedocument.themeOverride+xml"/>
  <Override PartName="/word/theme/themeOverride17.xml" ContentType="application/vnd.openxmlformats-officedocument.themeOverride+xml"/>
  <Override PartName="/word/theme/themeOverride18.xml" ContentType="application/vnd.openxmlformats-officedocument.themeOverride+xml"/>
  <Override PartName="/word/theme/themeOverride19.xml" ContentType="application/vnd.openxmlformats-officedocument.themeOverride+xml"/>
  <Override PartName="/word/theme/themeOverride2.xml" ContentType="application/vnd.openxmlformats-officedocument.themeOverride+xml"/>
  <Override PartName="/word/theme/themeOverride20.xml" ContentType="application/vnd.openxmlformats-officedocument.themeOverride+xml"/>
  <Override PartName="/word/theme/themeOverride21.xml" ContentType="application/vnd.openxmlformats-officedocument.themeOverride+xml"/>
  <Override PartName="/word/theme/themeOverride22.xml" ContentType="application/vnd.openxmlformats-officedocument.themeOverride+xml"/>
  <Override PartName="/word/theme/themeOverride23.xml" ContentType="application/vnd.openxmlformats-officedocument.themeOverride+xml"/>
  <Override PartName="/word/theme/themeOverride24.xml" ContentType="application/vnd.openxmlformats-officedocument.themeOverride+xml"/>
  <Override PartName="/word/theme/themeOverride25.xml" ContentType="application/vnd.openxmlformats-officedocument.themeOverride+xml"/>
  <Override PartName="/word/theme/themeOverride26.xml" ContentType="application/vnd.openxmlformats-officedocument.themeOverride+xml"/>
  <Override PartName="/word/theme/themeOverride27.xml" ContentType="application/vnd.openxmlformats-officedocument.themeOverride+xml"/>
  <Override PartName="/word/theme/themeOverride28.xml" ContentType="application/vnd.openxmlformats-officedocument.themeOverride+xml"/>
  <Override PartName="/word/theme/themeOverride29.xml" ContentType="application/vnd.openxmlformats-officedocument.themeOverride+xml"/>
  <Override PartName="/word/theme/themeOverride3.xml" ContentType="application/vnd.openxmlformats-officedocument.themeOverride+xml"/>
  <Override PartName="/word/theme/themeOverride30.xml" ContentType="application/vnd.openxmlformats-officedocument.themeOverride+xml"/>
  <Override PartName="/word/theme/themeOverride31.xml" ContentType="application/vnd.openxmlformats-officedocument.themeOverride+xml"/>
  <Override PartName="/word/theme/themeOverride32.xml" ContentType="application/vnd.openxmlformats-officedocument.themeOverride+xml"/>
  <Override PartName="/word/theme/themeOverride33.xml" ContentType="application/vnd.openxmlformats-officedocument.themeOverride+xml"/>
  <Override PartName="/word/theme/themeOverride34.xml" ContentType="application/vnd.openxmlformats-officedocument.themeOverride+xml"/>
  <Override PartName="/word/theme/themeOverride35.xml" ContentType="application/vnd.openxmlformats-officedocument.themeOverride+xml"/>
  <Override PartName="/word/theme/themeOverride36.xml" ContentType="application/vnd.openxmlformats-officedocument.themeOverride+xml"/>
  <Override PartName="/word/theme/themeOverride37.xml" ContentType="application/vnd.openxmlformats-officedocument.themeOverride+xml"/>
  <Override PartName="/word/theme/themeOverride38.xml" ContentType="application/vnd.openxmlformats-officedocument.themeOverride+xml"/>
  <Override PartName="/word/theme/themeOverride39.xml" ContentType="application/vnd.openxmlformats-officedocument.themeOverride+xml"/>
  <Override PartName="/word/theme/themeOverride4.xml" ContentType="application/vnd.openxmlformats-officedocument.themeOverride+xml"/>
  <Override PartName="/word/theme/themeOverride5.xml" ContentType="application/vnd.openxmlformats-officedocument.themeOverride+xml"/>
  <Override PartName="/word/theme/themeOverride6.xml" ContentType="application/vnd.openxmlformats-officedocument.themeOverride+xml"/>
  <Override PartName="/word/theme/themeOverride7.xml" ContentType="application/vnd.openxmlformats-officedocument.themeOverride+xml"/>
  <Override PartName="/word/theme/themeOverride8.xml" ContentType="application/vnd.openxmlformats-officedocument.themeOverride+xml"/>
  <Override PartName="/word/theme/themeOverride9.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jc w:val="center"/>
        <w:rPr>
          <w:rFonts w:eastAsia="方正大标宋_GBK"/>
          <w:sz w:val="36"/>
          <w:szCs w:val="36"/>
        </w:rPr>
      </w:pPr>
      <w:r>
        <w:rPr>
          <w:rFonts w:hint="eastAsia" w:eastAsia="方正大标宋_GBK"/>
          <w:sz w:val="36"/>
          <w:szCs w:val="36"/>
        </w:rPr>
        <w:drawing>
          <wp:anchor distT="0" distB="0" distL="114300" distR="114300" simplePos="0" relativeHeight="251660288" behindDoc="0" locked="0" layoutInCell="1" allowOverlap="1">
            <wp:simplePos x="0" y="0"/>
            <wp:positionH relativeFrom="column">
              <wp:posOffset>2091055</wp:posOffset>
            </wp:positionH>
            <wp:positionV relativeFrom="paragraph">
              <wp:posOffset>511175</wp:posOffset>
            </wp:positionV>
            <wp:extent cx="1557020" cy="1511935"/>
            <wp:effectExtent l="0" t="0" r="5080" b="12065"/>
            <wp:wrapTopAndBottom/>
            <wp:docPr id="17" name="图片 1" descr="WechatIMG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descr="WechatIMG151"/>
                    <pic:cNvPicPr>
                      <a:picLocks noChangeAspect="1"/>
                    </pic:cNvPicPr>
                  </pic:nvPicPr>
                  <pic:blipFill>
                    <a:blip r:embed="rId21"/>
                    <a:srcRect l="18970" t="24150" r="20349" b="34152"/>
                    <a:stretch>
                      <a:fillRect/>
                    </a:stretch>
                  </pic:blipFill>
                  <pic:spPr>
                    <a:xfrm>
                      <a:off x="0" y="0"/>
                      <a:ext cx="1557020" cy="1511935"/>
                    </a:xfrm>
                    <a:prstGeom prst="rect">
                      <a:avLst/>
                    </a:prstGeom>
                    <a:noFill/>
                    <a:ln>
                      <a:noFill/>
                    </a:ln>
                  </pic:spPr>
                </pic:pic>
              </a:graphicData>
            </a:graphic>
          </wp:anchor>
        </w:drawing>
      </w:r>
    </w:p>
    <w:p>
      <w:pPr>
        <w:pStyle w:val="2"/>
        <w:ind w:firstLine="0" w:firstLineChars="0"/>
        <w:jc w:val="center"/>
        <w:rPr>
          <w:rFonts w:eastAsia="方正大标宋_GBK"/>
          <w:sz w:val="36"/>
          <w:szCs w:val="36"/>
        </w:rPr>
      </w:pPr>
    </w:p>
    <w:p>
      <w:pPr>
        <w:spacing w:line="1000" w:lineRule="exact"/>
        <w:jc w:val="center"/>
        <w:rPr>
          <w:rFonts w:eastAsia="方正小标宋简体" w:cs="方正小标宋简体"/>
          <w:sz w:val="56"/>
          <w:szCs w:val="56"/>
        </w:rPr>
      </w:pPr>
      <w:r>
        <w:rPr>
          <w:rFonts w:hint="eastAsia" w:eastAsia="方正小标宋简体" w:cs="方正小标宋简体"/>
          <w:sz w:val="56"/>
          <w:szCs w:val="56"/>
        </w:rPr>
        <w:t>2021年全国未成年人互联网</w:t>
      </w:r>
    </w:p>
    <w:p>
      <w:pPr>
        <w:spacing w:line="1000" w:lineRule="exact"/>
        <w:jc w:val="center"/>
        <w:rPr>
          <w:rFonts w:eastAsia="方正小标宋简体" w:cs="方正小标宋简体"/>
          <w:sz w:val="56"/>
          <w:szCs w:val="56"/>
        </w:rPr>
      </w:pPr>
      <w:r>
        <w:rPr>
          <w:rFonts w:hint="eastAsia" w:eastAsia="方正小标宋简体" w:cs="方正小标宋简体"/>
          <w:sz w:val="56"/>
          <w:szCs w:val="56"/>
        </w:rPr>
        <w:t>使用情况研究报告</w:t>
      </w:r>
    </w:p>
    <w:p>
      <w:pPr>
        <w:pStyle w:val="2"/>
        <w:ind w:firstLine="0" w:firstLineChars="0"/>
        <w:jc w:val="center"/>
        <w:rPr>
          <w:rFonts w:hint="eastAsia" w:ascii="方正楷体_GBK" w:hAnsi="方正楷体_GBK" w:eastAsia="方正楷体_GBK" w:cs="方正楷体_GBK"/>
          <w:sz w:val="36"/>
          <w:szCs w:val="36"/>
          <w:lang w:eastAsia="zh-CN"/>
        </w:rPr>
      </w:pPr>
    </w:p>
    <w:p>
      <w:pPr>
        <w:pStyle w:val="2"/>
        <w:ind w:firstLine="0" w:firstLineChars="0"/>
        <w:jc w:val="center"/>
        <w:rPr>
          <w:rFonts w:eastAsia="方正大标宋_GBK"/>
          <w:sz w:val="36"/>
          <w:szCs w:val="36"/>
        </w:rPr>
      </w:pPr>
    </w:p>
    <w:p>
      <w:pPr>
        <w:pStyle w:val="2"/>
        <w:ind w:firstLine="0" w:firstLineChars="0"/>
        <w:jc w:val="center"/>
        <w:rPr>
          <w:rFonts w:eastAsia="方正大标宋_GBK"/>
          <w:sz w:val="36"/>
          <w:szCs w:val="36"/>
        </w:rPr>
      </w:pPr>
    </w:p>
    <w:p>
      <w:pPr>
        <w:pStyle w:val="2"/>
        <w:ind w:firstLine="0" w:firstLineChars="0"/>
        <w:jc w:val="center"/>
        <w:rPr>
          <w:rFonts w:eastAsia="方正大标宋_GBK"/>
          <w:sz w:val="36"/>
          <w:szCs w:val="36"/>
        </w:rPr>
      </w:pPr>
    </w:p>
    <w:p>
      <w:pPr>
        <w:pStyle w:val="2"/>
        <w:ind w:firstLine="0" w:firstLineChars="0"/>
        <w:jc w:val="center"/>
        <w:rPr>
          <w:rFonts w:eastAsia="方正大标宋_GBK"/>
          <w:sz w:val="36"/>
          <w:szCs w:val="36"/>
        </w:rPr>
      </w:pPr>
    </w:p>
    <w:p>
      <w:pPr>
        <w:pStyle w:val="2"/>
        <w:ind w:firstLine="0" w:firstLineChars="0"/>
        <w:jc w:val="center"/>
        <w:rPr>
          <w:rFonts w:eastAsia="方正大标宋_GBK"/>
          <w:sz w:val="36"/>
          <w:szCs w:val="36"/>
        </w:rPr>
      </w:pPr>
    </w:p>
    <w:p>
      <w:pPr>
        <w:pStyle w:val="2"/>
        <w:ind w:firstLine="0" w:firstLineChars="0"/>
        <w:jc w:val="center"/>
        <w:rPr>
          <w:rFonts w:eastAsia="方正大标宋_GBK"/>
          <w:sz w:val="36"/>
          <w:szCs w:val="36"/>
        </w:rPr>
      </w:pPr>
    </w:p>
    <w:p>
      <w:pPr>
        <w:adjustRightInd w:val="0"/>
        <w:snapToGrid w:val="0"/>
        <w:spacing w:line="640" w:lineRule="exact"/>
        <w:jc w:val="center"/>
        <w:rPr>
          <w:rFonts w:eastAsia="方正楷体_GBK"/>
          <w:sz w:val="36"/>
          <w:szCs w:val="36"/>
        </w:rPr>
      </w:pPr>
      <w:r>
        <w:rPr>
          <w:rFonts w:hint="eastAsia" w:eastAsia="方正楷体_GBK"/>
          <w:sz w:val="36"/>
          <w:szCs w:val="36"/>
        </w:rPr>
        <w:t>共青团中央</w:t>
      </w:r>
      <w:r>
        <w:rPr>
          <w:rFonts w:eastAsia="方正楷体_GBK"/>
          <w:sz w:val="36"/>
          <w:szCs w:val="36"/>
        </w:rPr>
        <w:t>维护青少年权益部</w:t>
      </w:r>
    </w:p>
    <w:p>
      <w:pPr>
        <w:adjustRightInd w:val="0"/>
        <w:snapToGrid w:val="0"/>
        <w:spacing w:line="640" w:lineRule="exact"/>
        <w:jc w:val="center"/>
        <w:rPr>
          <w:rFonts w:eastAsia="方正楷体_GBK"/>
          <w:sz w:val="36"/>
          <w:szCs w:val="36"/>
        </w:rPr>
      </w:pPr>
      <w:r>
        <w:rPr>
          <w:rFonts w:hint="eastAsia" w:eastAsia="方正楷体_GBK"/>
          <w:sz w:val="36"/>
          <w:szCs w:val="36"/>
        </w:rPr>
        <w:t>中国互联网络信息中心</w:t>
      </w:r>
    </w:p>
    <w:p>
      <w:pPr>
        <w:adjustRightInd w:val="0"/>
        <w:snapToGrid w:val="0"/>
        <w:spacing w:line="640" w:lineRule="exact"/>
        <w:jc w:val="center"/>
        <w:rPr>
          <w:rFonts w:eastAsia="方正大标宋_GBK"/>
          <w:sz w:val="36"/>
          <w:szCs w:val="36"/>
        </w:rPr>
      </w:pPr>
      <w:r>
        <w:rPr>
          <w:rFonts w:eastAsia="方正楷体_GBK"/>
          <w:sz w:val="36"/>
          <w:szCs w:val="36"/>
        </w:rPr>
        <w:t>202</w:t>
      </w:r>
      <w:r>
        <w:rPr>
          <w:rFonts w:hint="eastAsia" w:eastAsia="方正楷体_GBK"/>
          <w:sz w:val="36"/>
          <w:szCs w:val="36"/>
        </w:rPr>
        <w:t>2</w:t>
      </w:r>
      <w:r>
        <w:rPr>
          <w:rFonts w:eastAsia="方正楷体_GBK"/>
          <w:sz w:val="36"/>
          <w:szCs w:val="36"/>
        </w:rPr>
        <w:t>年</w:t>
      </w:r>
      <w:r>
        <w:rPr>
          <w:rFonts w:hint="eastAsia" w:eastAsia="方正楷体_GBK"/>
          <w:sz w:val="36"/>
          <w:szCs w:val="36"/>
        </w:rPr>
        <w:t>1</w:t>
      </w:r>
      <w:r>
        <w:rPr>
          <w:rFonts w:hint="eastAsia" w:eastAsia="方正楷体_GBK"/>
          <w:sz w:val="36"/>
          <w:szCs w:val="36"/>
          <w:lang w:val="en-US" w:eastAsia="zh-CN"/>
        </w:rPr>
        <w:t>1</w:t>
      </w:r>
      <w:r>
        <w:rPr>
          <w:rFonts w:eastAsia="方正楷体_GBK"/>
          <w:sz w:val="36"/>
          <w:szCs w:val="36"/>
        </w:rPr>
        <w:t>月</w:t>
      </w:r>
    </w:p>
    <w:p>
      <w:pPr>
        <w:pStyle w:val="2"/>
        <w:ind w:firstLine="420"/>
        <w:jc w:val="center"/>
        <w:sectPr>
          <w:headerReference r:id="rId5" w:type="default"/>
          <w:footerReference r:id="rId7" w:type="default"/>
          <w:headerReference r:id="rId6" w:type="even"/>
          <w:pgSz w:w="11906" w:h="16838"/>
          <w:pgMar w:top="1984" w:right="1531" w:bottom="1984" w:left="1531" w:header="851" w:footer="992" w:gutter="0"/>
          <w:pgNumType w:start="1"/>
          <w:cols w:space="720" w:num="1"/>
          <w:docGrid w:type="lines" w:linePitch="312" w:charSpace="0"/>
        </w:sectPr>
      </w:pPr>
    </w:p>
    <w:p>
      <w:pPr>
        <w:autoSpaceDE w:val="0"/>
        <w:autoSpaceDN w:val="0"/>
        <w:adjustRightInd w:val="0"/>
        <w:spacing w:line="520" w:lineRule="exact"/>
        <w:ind w:firstLine="420" w:firstLineChars="200"/>
        <w:rPr>
          <w:kern w:val="0"/>
          <w:szCs w:val="21"/>
        </w:rPr>
      </w:pPr>
    </w:p>
    <w:p>
      <w:pPr>
        <w:widowControl/>
        <w:spacing w:line="240" w:lineRule="auto"/>
        <w:sectPr>
          <w:headerReference r:id="rId10" w:type="first"/>
          <w:footerReference r:id="rId13" w:type="first"/>
          <w:headerReference r:id="rId8" w:type="default"/>
          <w:footerReference r:id="rId11" w:type="default"/>
          <w:headerReference r:id="rId9" w:type="even"/>
          <w:footerReference r:id="rId12" w:type="even"/>
          <w:footnotePr>
            <w:numFmt w:val="decimalEnclosedCircleChinese"/>
          </w:footnotePr>
          <w:pgSz w:w="11906" w:h="16838"/>
          <w:pgMar w:top="1984" w:right="1531" w:bottom="1984" w:left="1531" w:header="851" w:footer="992" w:gutter="0"/>
          <w:pgNumType w:fmt="upperRoman"/>
          <w:cols w:space="425" w:num="1"/>
          <w:titlePg/>
          <w:docGrid w:type="lines" w:linePitch="312" w:charSpace="0"/>
        </w:sectPr>
      </w:pPr>
      <w:bookmarkStart w:id="0" w:name="_Toc450222377"/>
      <w:bookmarkStart w:id="1" w:name="_Toc486505237"/>
      <w:bookmarkStart w:id="2" w:name="_Toc450746193"/>
      <w:bookmarkStart w:id="3" w:name="_Toc452387732"/>
      <w:bookmarkStart w:id="4" w:name="_Toc451947823"/>
      <w:bookmarkStart w:id="5" w:name="_Toc485023423"/>
      <w:bookmarkStart w:id="6" w:name="_Toc450304663"/>
      <w:bookmarkStart w:id="7" w:name="_Toc450746558"/>
      <w:bookmarkStart w:id="8" w:name="_Toc451956760"/>
      <w:bookmarkStart w:id="9" w:name="_Toc452232990"/>
      <w:bookmarkStart w:id="10" w:name="_Toc452106504"/>
      <w:bookmarkStart w:id="11" w:name="_Toc452360889"/>
      <w:bookmarkStart w:id="12" w:name="_Toc451956580"/>
      <w:bookmarkStart w:id="13" w:name="_Toc488233754"/>
      <w:bookmarkStart w:id="14" w:name="_Toc451426264"/>
      <w:bookmarkStart w:id="15" w:name="_Toc452452594"/>
    </w:p>
    <w:p>
      <w:pPr>
        <w:spacing w:line="560" w:lineRule="exact"/>
        <w:jc w:val="center"/>
        <w:rPr>
          <w:rFonts w:eastAsia="方正小标宋简体" w:cs="方正小标宋简体"/>
          <w:sz w:val="40"/>
          <w:szCs w:val="40"/>
        </w:rPr>
      </w:pPr>
      <w:bookmarkStart w:id="16" w:name="_Toc36643091"/>
      <w:bookmarkStart w:id="17" w:name="_Toc531253162"/>
      <w:bookmarkStart w:id="18" w:name="_Toc532478122"/>
      <w:bookmarkStart w:id="19" w:name="_Toc488325886"/>
      <w:bookmarkStart w:id="20" w:name="_Toc34606303"/>
      <w:bookmarkStart w:id="21" w:name="_Toc488839956"/>
      <w:bookmarkStart w:id="22" w:name="_Toc491099478"/>
      <w:bookmarkStart w:id="23" w:name="_Toc36125122"/>
      <w:bookmarkStart w:id="24" w:name="_Toc531339099"/>
      <w:bookmarkStart w:id="25" w:name="_Toc36114229"/>
      <w:bookmarkStart w:id="26" w:name="_Toc73447907"/>
      <w:bookmarkStart w:id="27" w:name="_Toc36121806"/>
      <w:bookmarkStart w:id="28" w:name="_Toc72079635"/>
      <w:bookmarkStart w:id="29" w:name="_Toc491344711"/>
      <w:bookmarkStart w:id="30" w:name="_Toc531356388"/>
      <w:bookmarkStart w:id="31" w:name="_Toc526068641"/>
      <w:bookmarkStart w:id="32" w:name="_Toc528165251"/>
      <w:bookmarkStart w:id="33" w:name="_Toc73538134"/>
      <w:bookmarkStart w:id="34" w:name="_Toc527991538"/>
      <w:bookmarkStart w:id="35" w:name="_Toc528331295"/>
      <w:bookmarkStart w:id="36" w:name="_Toc533519920"/>
      <w:bookmarkStart w:id="37" w:name="_Toc38479115"/>
      <w:bookmarkStart w:id="38" w:name="_Toc531253075"/>
      <w:bookmarkStart w:id="39" w:name="_Toc531356005"/>
      <w:bookmarkStart w:id="40" w:name="_Toc527122913"/>
      <w:bookmarkStart w:id="41" w:name="_Toc536691325"/>
      <w:bookmarkStart w:id="42" w:name="_Toc536691070"/>
      <w:bookmarkStart w:id="43" w:name="_Toc536689455"/>
      <w:bookmarkStart w:id="44" w:name="_Toc527383265"/>
      <w:bookmarkStart w:id="45" w:name="_Toc36627300"/>
      <w:bookmarkStart w:id="46" w:name="_Toc73367950"/>
      <w:bookmarkStart w:id="47" w:name="_Toc530911121"/>
      <w:bookmarkStart w:id="48" w:name="_Toc72163208"/>
      <w:bookmarkStart w:id="49" w:name="_Toc73362587"/>
      <w:bookmarkStart w:id="50" w:name="_Toc72311015"/>
      <w:r>
        <w:rPr>
          <w:rFonts w:hint="eastAsia" w:eastAsia="方正小标宋简体" w:cs="方正小标宋简体"/>
          <w:sz w:val="40"/>
          <w:szCs w:val="40"/>
        </w:rPr>
        <w:t>目  录</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p>
    <w:p>
      <w:pPr>
        <w:pStyle w:val="21"/>
        <w:keepNext w:val="0"/>
        <w:keepLines w:val="0"/>
        <w:pageBreakBefore w:val="0"/>
        <w:widowControl w:val="0"/>
        <w:kinsoku/>
        <w:wordWrap/>
        <w:overflowPunct/>
        <w:topLinePunct w:val="0"/>
        <w:autoSpaceDE/>
        <w:autoSpaceDN/>
        <w:bidi w:val="0"/>
        <w:adjustRightInd/>
        <w:snapToGrid/>
        <w:spacing w:before="0" w:after="0" w:line="380" w:lineRule="exact"/>
        <w:textAlignment w:val="auto"/>
        <w:outlineLvl w:val="9"/>
        <w:rPr>
          <w:rFonts w:eastAsia="方正仿宋_GBK"/>
          <w:b w:val="0"/>
          <w:bCs/>
          <w:szCs w:val="28"/>
          <w:shd w:val="clear" w:color="auto" w:fill="auto"/>
        </w:rPr>
      </w:pPr>
    </w:p>
    <w:p>
      <w:pPr>
        <w:pStyle w:val="21"/>
        <w:keepNext w:val="0"/>
        <w:keepLines w:val="0"/>
        <w:pageBreakBefore w:val="0"/>
        <w:widowControl w:val="0"/>
        <w:tabs>
          <w:tab w:val="right" w:leader="dot" w:pos="8306"/>
          <w:tab w:val="clear" w:pos="8296"/>
        </w:tabs>
        <w:kinsoku/>
        <w:wordWrap/>
        <w:overflowPunct/>
        <w:topLinePunct w:val="0"/>
        <w:autoSpaceDE/>
        <w:autoSpaceDN/>
        <w:bidi w:val="0"/>
        <w:adjustRightInd/>
        <w:snapToGrid/>
        <w:spacing w:before="0" w:after="0" w:line="380" w:lineRule="exact"/>
        <w:textAlignment w:val="auto"/>
        <w:outlineLvl w:val="9"/>
        <w:rPr>
          <w:rFonts w:eastAsia="方正黑体_GBK"/>
          <w:b w:val="0"/>
          <w:bCs/>
          <w:sz w:val="28"/>
          <w:szCs w:val="28"/>
          <w:shd w:val="clear" w:color="auto" w:fill="auto"/>
        </w:rPr>
      </w:pPr>
      <w:r>
        <w:rPr>
          <w:rFonts w:hint="eastAsia" w:eastAsia="方正仿宋_GBK" w:cs="方正仿宋_GBK"/>
          <w:b w:val="0"/>
          <w:bCs/>
          <w:sz w:val="28"/>
          <w:szCs w:val="28"/>
          <w:shd w:val="clear" w:color="auto" w:fill="auto"/>
        </w:rPr>
        <w:fldChar w:fldCharType="begin"/>
      </w:r>
      <w:r>
        <w:rPr>
          <w:rFonts w:hint="eastAsia" w:eastAsia="方正仿宋_GBK" w:cs="方正仿宋_GBK"/>
          <w:b w:val="0"/>
          <w:bCs/>
          <w:sz w:val="28"/>
          <w:szCs w:val="28"/>
          <w:shd w:val="clear" w:color="auto" w:fill="auto"/>
        </w:rPr>
        <w:instrText xml:space="preserve">TOC \o "1-3" \h \z \u</w:instrText>
      </w:r>
      <w:r>
        <w:rPr>
          <w:rFonts w:hint="eastAsia" w:eastAsia="方正仿宋_GBK" w:cs="方正仿宋_GBK"/>
          <w:b w:val="0"/>
          <w:bCs/>
          <w:sz w:val="28"/>
          <w:szCs w:val="28"/>
          <w:shd w:val="clear" w:color="auto" w:fill="auto"/>
        </w:rPr>
        <w:fldChar w:fldCharType="separate"/>
      </w:r>
      <w:r>
        <w:rPr>
          <w:rFonts w:hint="eastAsia" w:eastAsia="方正黑体_GBK" w:cs="方正仿宋_GBK"/>
          <w:b w:val="0"/>
          <w:bCs/>
          <w:sz w:val="28"/>
          <w:szCs w:val="28"/>
          <w:shd w:val="clear" w:color="auto" w:fill="auto"/>
        </w:rPr>
        <w:fldChar w:fldCharType="begin"/>
      </w:r>
      <w:r>
        <w:rPr>
          <w:rFonts w:hint="eastAsia" w:eastAsia="方正黑体_GBK" w:cs="方正仿宋_GBK"/>
          <w:b w:val="0"/>
          <w:bCs/>
          <w:sz w:val="28"/>
          <w:szCs w:val="28"/>
          <w:shd w:val="clear" w:color="auto" w:fill="auto"/>
        </w:rPr>
        <w:instrText xml:space="preserve"> HYPERLINK \l _Toc136129571 </w:instrText>
      </w:r>
      <w:r>
        <w:rPr>
          <w:rFonts w:hint="eastAsia" w:eastAsia="方正黑体_GBK" w:cs="方正仿宋_GBK"/>
          <w:b w:val="0"/>
          <w:bCs/>
          <w:sz w:val="28"/>
          <w:szCs w:val="28"/>
          <w:shd w:val="clear" w:color="auto" w:fill="auto"/>
        </w:rPr>
        <w:fldChar w:fldCharType="separate"/>
      </w:r>
      <w:r>
        <w:rPr>
          <w:rFonts w:hint="eastAsia" w:eastAsia="方正黑体_GBK" w:cs="方正小标宋简体"/>
          <w:b w:val="0"/>
          <w:bCs/>
          <w:sz w:val="28"/>
          <w:szCs w:val="28"/>
          <w:shd w:val="clear" w:color="auto" w:fill="auto"/>
        </w:rPr>
        <w:t>总报告</w:t>
      </w:r>
      <w:r>
        <w:rPr>
          <w:rFonts w:eastAsia="方正黑体_GBK"/>
          <w:b w:val="0"/>
          <w:bCs/>
          <w:sz w:val="28"/>
          <w:szCs w:val="28"/>
          <w:shd w:val="clear" w:color="auto" w:fill="auto"/>
        </w:rPr>
        <w:tab/>
      </w:r>
      <w:r>
        <w:rPr>
          <w:rFonts w:eastAsia="方正黑体_GBK"/>
          <w:b w:val="0"/>
          <w:bCs/>
          <w:sz w:val="28"/>
          <w:szCs w:val="28"/>
          <w:shd w:val="clear" w:color="auto" w:fill="auto"/>
        </w:rPr>
        <w:fldChar w:fldCharType="begin"/>
      </w:r>
      <w:r>
        <w:rPr>
          <w:rFonts w:eastAsia="方正黑体_GBK"/>
          <w:b w:val="0"/>
          <w:bCs/>
          <w:sz w:val="28"/>
          <w:szCs w:val="28"/>
          <w:shd w:val="clear" w:color="auto" w:fill="auto"/>
        </w:rPr>
        <w:instrText xml:space="preserve"> PAGEREF _Toc136129571 </w:instrText>
      </w:r>
      <w:r>
        <w:rPr>
          <w:rFonts w:eastAsia="方正黑体_GBK"/>
          <w:b w:val="0"/>
          <w:bCs/>
          <w:sz w:val="28"/>
          <w:szCs w:val="28"/>
          <w:shd w:val="clear" w:color="auto" w:fill="auto"/>
        </w:rPr>
        <w:fldChar w:fldCharType="separate"/>
      </w:r>
      <w:r>
        <w:rPr>
          <w:rFonts w:eastAsia="方正黑体_GBK"/>
          <w:b w:val="0"/>
          <w:bCs/>
          <w:sz w:val="28"/>
          <w:szCs w:val="28"/>
          <w:shd w:val="clear" w:color="auto" w:fill="auto"/>
        </w:rPr>
        <w:t>1</w:t>
      </w:r>
      <w:r>
        <w:rPr>
          <w:rFonts w:eastAsia="方正黑体_GBK"/>
          <w:b w:val="0"/>
          <w:bCs/>
          <w:sz w:val="28"/>
          <w:szCs w:val="28"/>
          <w:shd w:val="clear" w:color="auto" w:fill="auto"/>
        </w:rPr>
        <w:fldChar w:fldCharType="end"/>
      </w:r>
      <w:r>
        <w:rPr>
          <w:rFonts w:hint="eastAsia" w:eastAsia="方正黑体_GBK" w:cs="方正仿宋_GBK"/>
          <w:b w:val="0"/>
          <w:bCs/>
          <w:sz w:val="28"/>
          <w:szCs w:val="28"/>
          <w:shd w:val="clear" w:color="auto" w:fill="auto"/>
        </w:rPr>
        <w:fldChar w:fldCharType="end"/>
      </w:r>
    </w:p>
    <w:p>
      <w:pPr>
        <w:pStyle w:val="26"/>
        <w:keepNext w:val="0"/>
        <w:keepLines w:val="0"/>
        <w:pageBreakBefore w:val="0"/>
        <w:widowControl w:val="0"/>
        <w:tabs>
          <w:tab w:val="right" w:leader="dot" w:pos="8306"/>
          <w:tab w:val="clear" w:pos="1260"/>
          <w:tab w:val="clear" w:pos="8296"/>
        </w:tabs>
        <w:kinsoku/>
        <w:wordWrap/>
        <w:overflowPunct/>
        <w:topLinePunct w:val="0"/>
        <w:autoSpaceDE/>
        <w:autoSpaceDN/>
        <w:bidi w:val="0"/>
        <w:adjustRightInd/>
        <w:snapToGrid/>
        <w:spacing w:line="380" w:lineRule="exact"/>
        <w:textAlignment w:val="auto"/>
        <w:outlineLvl w:val="9"/>
        <w:rPr>
          <w:rFonts w:eastAsia="方正仿宋_GBK"/>
          <w:b w:val="0"/>
          <w:bCs/>
          <w:sz w:val="28"/>
          <w:szCs w:val="28"/>
          <w:shd w:val="clear" w:color="auto" w:fill="auto"/>
        </w:rPr>
      </w:pPr>
      <w:r>
        <w:rPr>
          <w:rFonts w:hint="eastAsia" w:eastAsia="方正仿宋_GBK" w:cs="方正仿宋_GBK"/>
          <w:b w:val="0"/>
          <w:bCs/>
          <w:sz w:val="28"/>
          <w:szCs w:val="28"/>
          <w:shd w:val="clear" w:color="auto" w:fill="auto"/>
        </w:rPr>
        <w:fldChar w:fldCharType="begin"/>
      </w:r>
      <w:r>
        <w:rPr>
          <w:rFonts w:hint="eastAsia" w:eastAsia="方正仿宋_GBK" w:cs="方正仿宋_GBK"/>
          <w:b w:val="0"/>
          <w:bCs/>
          <w:sz w:val="28"/>
          <w:szCs w:val="28"/>
          <w:shd w:val="clear" w:color="auto" w:fill="auto"/>
        </w:rPr>
        <w:instrText xml:space="preserve"> HYPERLINK \l _Toc1731603319 </w:instrText>
      </w:r>
      <w:r>
        <w:rPr>
          <w:rFonts w:hint="eastAsia" w:eastAsia="方正仿宋_GBK" w:cs="方正仿宋_GBK"/>
          <w:b w:val="0"/>
          <w:bCs/>
          <w:sz w:val="28"/>
          <w:szCs w:val="28"/>
          <w:shd w:val="clear" w:color="auto" w:fill="auto"/>
        </w:rPr>
        <w:fldChar w:fldCharType="separate"/>
      </w:r>
      <w:r>
        <w:rPr>
          <w:rFonts w:hint="eastAsia" w:eastAsia="方正仿宋_GBK" w:cs="方正黑体_GBK"/>
          <w:b w:val="0"/>
          <w:bCs/>
          <w:sz w:val="28"/>
          <w:szCs w:val="28"/>
          <w:shd w:val="clear" w:color="auto" w:fill="auto"/>
        </w:rPr>
        <w:t>一、核心数据</w:t>
      </w:r>
      <w:r>
        <w:rPr>
          <w:rFonts w:eastAsia="方正仿宋_GBK"/>
          <w:b w:val="0"/>
          <w:bCs/>
          <w:sz w:val="28"/>
          <w:szCs w:val="28"/>
          <w:shd w:val="clear" w:color="auto" w:fill="auto"/>
        </w:rPr>
        <w:tab/>
      </w:r>
      <w:r>
        <w:rPr>
          <w:rFonts w:eastAsia="方正仿宋_GBK"/>
          <w:b w:val="0"/>
          <w:bCs/>
          <w:sz w:val="28"/>
          <w:szCs w:val="28"/>
          <w:shd w:val="clear" w:color="auto" w:fill="auto"/>
        </w:rPr>
        <w:fldChar w:fldCharType="begin"/>
      </w:r>
      <w:r>
        <w:rPr>
          <w:rFonts w:eastAsia="方正仿宋_GBK"/>
          <w:b w:val="0"/>
          <w:bCs/>
          <w:sz w:val="28"/>
          <w:szCs w:val="28"/>
          <w:shd w:val="clear" w:color="auto" w:fill="auto"/>
        </w:rPr>
        <w:instrText xml:space="preserve"> PAGEREF _Toc1731603319 </w:instrText>
      </w:r>
      <w:r>
        <w:rPr>
          <w:rFonts w:eastAsia="方正仿宋_GBK"/>
          <w:b w:val="0"/>
          <w:bCs/>
          <w:sz w:val="28"/>
          <w:szCs w:val="28"/>
          <w:shd w:val="clear" w:color="auto" w:fill="auto"/>
        </w:rPr>
        <w:fldChar w:fldCharType="separate"/>
      </w:r>
      <w:r>
        <w:rPr>
          <w:rFonts w:eastAsia="方正仿宋_GBK"/>
          <w:b w:val="0"/>
          <w:bCs/>
          <w:sz w:val="28"/>
          <w:szCs w:val="28"/>
          <w:shd w:val="clear" w:color="auto" w:fill="auto"/>
        </w:rPr>
        <w:t>1</w:t>
      </w:r>
      <w:r>
        <w:rPr>
          <w:rFonts w:eastAsia="方正仿宋_GBK"/>
          <w:b w:val="0"/>
          <w:bCs/>
          <w:sz w:val="28"/>
          <w:szCs w:val="28"/>
          <w:shd w:val="clear" w:color="auto" w:fill="auto"/>
        </w:rPr>
        <w:fldChar w:fldCharType="end"/>
      </w:r>
      <w:r>
        <w:rPr>
          <w:rFonts w:hint="eastAsia" w:eastAsia="方正仿宋_GBK" w:cs="方正仿宋_GBK"/>
          <w:b w:val="0"/>
          <w:bCs/>
          <w:sz w:val="28"/>
          <w:szCs w:val="28"/>
          <w:shd w:val="clear" w:color="auto" w:fill="auto"/>
        </w:rPr>
        <w:fldChar w:fldCharType="end"/>
      </w:r>
    </w:p>
    <w:p>
      <w:pPr>
        <w:pStyle w:val="26"/>
        <w:keepNext w:val="0"/>
        <w:keepLines w:val="0"/>
        <w:pageBreakBefore w:val="0"/>
        <w:widowControl w:val="0"/>
        <w:tabs>
          <w:tab w:val="right" w:leader="dot" w:pos="8306"/>
          <w:tab w:val="clear" w:pos="1260"/>
          <w:tab w:val="clear" w:pos="8296"/>
        </w:tabs>
        <w:kinsoku/>
        <w:wordWrap/>
        <w:overflowPunct/>
        <w:topLinePunct w:val="0"/>
        <w:autoSpaceDE/>
        <w:autoSpaceDN/>
        <w:bidi w:val="0"/>
        <w:adjustRightInd/>
        <w:snapToGrid/>
        <w:spacing w:line="380" w:lineRule="exact"/>
        <w:textAlignment w:val="auto"/>
        <w:outlineLvl w:val="9"/>
        <w:rPr>
          <w:rFonts w:eastAsia="方正仿宋_GBK"/>
          <w:b w:val="0"/>
          <w:bCs/>
          <w:sz w:val="28"/>
          <w:szCs w:val="28"/>
          <w:shd w:val="clear" w:color="auto" w:fill="auto"/>
        </w:rPr>
      </w:pPr>
      <w:r>
        <w:rPr>
          <w:rFonts w:hint="eastAsia" w:eastAsia="方正仿宋_GBK" w:cs="方正仿宋_GBK"/>
          <w:b w:val="0"/>
          <w:bCs/>
          <w:sz w:val="28"/>
          <w:szCs w:val="28"/>
          <w:shd w:val="clear" w:color="auto" w:fill="auto"/>
        </w:rPr>
        <w:fldChar w:fldCharType="begin"/>
      </w:r>
      <w:r>
        <w:rPr>
          <w:rFonts w:hint="eastAsia" w:eastAsia="方正仿宋_GBK" w:cs="方正仿宋_GBK"/>
          <w:b w:val="0"/>
          <w:bCs/>
          <w:sz w:val="28"/>
          <w:szCs w:val="28"/>
          <w:shd w:val="clear" w:color="auto" w:fill="auto"/>
        </w:rPr>
        <w:instrText xml:space="preserve"> HYPERLINK \l _Toc602583820 </w:instrText>
      </w:r>
      <w:r>
        <w:rPr>
          <w:rFonts w:hint="eastAsia" w:eastAsia="方正仿宋_GBK" w:cs="方正仿宋_GBK"/>
          <w:b w:val="0"/>
          <w:bCs/>
          <w:sz w:val="28"/>
          <w:szCs w:val="28"/>
          <w:shd w:val="clear" w:color="auto" w:fill="auto"/>
        </w:rPr>
        <w:fldChar w:fldCharType="separate"/>
      </w:r>
      <w:r>
        <w:rPr>
          <w:rFonts w:hint="eastAsia" w:eastAsia="方正仿宋_GBK" w:cs="方正黑体_GBK"/>
          <w:b w:val="0"/>
          <w:bCs/>
          <w:sz w:val="28"/>
          <w:szCs w:val="28"/>
          <w:shd w:val="clear" w:color="auto" w:fill="auto"/>
        </w:rPr>
        <w:t>二、主要发现</w:t>
      </w:r>
      <w:r>
        <w:rPr>
          <w:rFonts w:eastAsia="方正仿宋_GBK"/>
          <w:b w:val="0"/>
          <w:bCs/>
          <w:sz w:val="28"/>
          <w:szCs w:val="28"/>
          <w:shd w:val="clear" w:color="auto" w:fill="auto"/>
        </w:rPr>
        <w:tab/>
      </w:r>
      <w:r>
        <w:rPr>
          <w:rFonts w:eastAsia="方正仿宋_GBK"/>
          <w:b w:val="0"/>
          <w:bCs/>
          <w:sz w:val="28"/>
          <w:szCs w:val="28"/>
          <w:shd w:val="clear" w:color="auto" w:fill="auto"/>
        </w:rPr>
        <w:fldChar w:fldCharType="begin"/>
      </w:r>
      <w:r>
        <w:rPr>
          <w:rFonts w:eastAsia="方正仿宋_GBK"/>
          <w:b w:val="0"/>
          <w:bCs/>
          <w:sz w:val="28"/>
          <w:szCs w:val="28"/>
          <w:shd w:val="clear" w:color="auto" w:fill="auto"/>
        </w:rPr>
        <w:instrText xml:space="preserve"> PAGEREF _Toc602583820 </w:instrText>
      </w:r>
      <w:r>
        <w:rPr>
          <w:rFonts w:eastAsia="方正仿宋_GBK"/>
          <w:b w:val="0"/>
          <w:bCs/>
          <w:sz w:val="28"/>
          <w:szCs w:val="28"/>
          <w:shd w:val="clear" w:color="auto" w:fill="auto"/>
        </w:rPr>
        <w:fldChar w:fldCharType="separate"/>
      </w:r>
      <w:r>
        <w:rPr>
          <w:rFonts w:eastAsia="方正仿宋_GBK"/>
          <w:b w:val="0"/>
          <w:bCs/>
          <w:sz w:val="28"/>
          <w:szCs w:val="28"/>
          <w:shd w:val="clear" w:color="auto" w:fill="auto"/>
        </w:rPr>
        <w:t>3</w:t>
      </w:r>
      <w:r>
        <w:rPr>
          <w:rFonts w:eastAsia="方正仿宋_GBK"/>
          <w:b w:val="0"/>
          <w:bCs/>
          <w:sz w:val="28"/>
          <w:szCs w:val="28"/>
          <w:shd w:val="clear" w:color="auto" w:fill="auto"/>
        </w:rPr>
        <w:fldChar w:fldCharType="end"/>
      </w:r>
      <w:r>
        <w:rPr>
          <w:rFonts w:hint="eastAsia" w:eastAsia="方正仿宋_GBK" w:cs="方正仿宋_GBK"/>
          <w:b w:val="0"/>
          <w:bCs/>
          <w:sz w:val="28"/>
          <w:szCs w:val="28"/>
          <w:shd w:val="clear" w:color="auto" w:fill="auto"/>
        </w:rPr>
        <w:fldChar w:fldCharType="end"/>
      </w:r>
    </w:p>
    <w:p>
      <w:pPr>
        <w:pStyle w:val="26"/>
        <w:keepNext w:val="0"/>
        <w:keepLines w:val="0"/>
        <w:pageBreakBefore w:val="0"/>
        <w:widowControl w:val="0"/>
        <w:tabs>
          <w:tab w:val="right" w:leader="dot" w:pos="8306"/>
          <w:tab w:val="clear" w:pos="1260"/>
          <w:tab w:val="clear" w:pos="8296"/>
        </w:tabs>
        <w:kinsoku/>
        <w:wordWrap/>
        <w:overflowPunct/>
        <w:topLinePunct w:val="0"/>
        <w:autoSpaceDE/>
        <w:autoSpaceDN/>
        <w:bidi w:val="0"/>
        <w:adjustRightInd/>
        <w:snapToGrid/>
        <w:spacing w:line="380" w:lineRule="exact"/>
        <w:textAlignment w:val="auto"/>
        <w:outlineLvl w:val="9"/>
        <w:rPr>
          <w:rFonts w:eastAsia="方正仿宋_GBK"/>
          <w:b w:val="0"/>
          <w:bCs/>
          <w:sz w:val="28"/>
          <w:szCs w:val="28"/>
          <w:shd w:val="clear" w:color="auto" w:fill="auto"/>
        </w:rPr>
      </w:pPr>
      <w:r>
        <w:rPr>
          <w:rFonts w:hint="eastAsia" w:eastAsia="方正仿宋_GBK" w:cs="方正仿宋_GBK"/>
          <w:b w:val="0"/>
          <w:bCs/>
          <w:sz w:val="28"/>
          <w:szCs w:val="28"/>
          <w:shd w:val="clear" w:color="auto" w:fill="auto"/>
        </w:rPr>
        <w:fldChar w:fldCharType="begin"/>
      </w:r>
      <w:r>
        <w:rPr>
          <w:rFonts w:hint="eastAsia" w:eastAsia="方正仿宋_GBK" w:cs="方正仿宋_GBK"/>
          <w:b w:val="0"/>
          <w:bCs/>
          <w:sz w:val="28"/>
          <w:szCs w:val="28"/>
          <w:shd w:val="clear" w:color="auto" w:fill="auto"/>
        </w:rPr>
        <w:instrText xml:space="preserve"> HYPERLINK \l _Toc712465 </w:instrText>
      </w:r>
      <w:r>
        <w:rPr>
          <w:rFonts w:hint="eastAsia" w:eastAsia="方正仿宋_GBK" w:cs="方正仿宋_GBK"/>
          <w:b w:val="0"/>
          <w:bCs/>
          <w:sz w:val="28"/>
          <w:szCs w:val="28"/>
          <w:shd w:val="clear" w:color="auto" w:fill="auto"/>
        </w:rPr>
        <w:fldChar w:fldCharType="separate"/>
      </w:r>
      <w:r>
        <w:rPr>
          <w:rFonts w:hint="eastAsia" w:eastAsia="方正仿宋_GBK" w:cs="方正黑体_GBK"/>
          <w:b w:val="0"/>
          <w:bCs/>
          <w:sz w:val="28"/>
          <w:szCs w:val="28"/>
          <w:shd w:val="clear" w:color="auto" w:fill="auto"/>
        </w:rPr>
        <w:t>三、有关建议</w:t>
      </w:r>
      <w:r>
        <w:rPr>
          <w:rFonts w:eastAsia="方正仿宋_GBK"/>
          <w:b w:val="0"/>
          <w:bCs/>
          <w:sz w:val="28"/>
          <w:szCs w:val="28"/>
          <w:shd w:val="clear" w:color="auto" w:fill="auto"/>
        </w:rPr>
        <w:tab/>
      </w:r>
      <w:r>
        <w:rPr>
          <w:rFonts w:eastAsia="方正仿宋_GBK"/>
          <w:b w:val="0"/>
          <w:bCs/>
          <w:sz w:val="28"/>
          <w:szCs w:val="28"/>
          <w:shd w:val="clear" w:color="auto" w:fill="auto"/>
        </w:rPr>
        <w:fldChar w:fldCharType="begin"/>
      </w:r>
      <w:r>
        <w:rPr>
          <w:rFonts w:eastAsia="方正仿宋_GBK"/>
          <w:b w:val="0"/>
          <w:bCs/>
          <w:sz w:val="28"/>
          <w:szCs w:val="28"/>
          <w:shd w:val="clear" w:color="auto" w:fill="auto"/>
        </w:rPr>
        <w:instrText xml:space="preserve"> PAGEREF _Toc712465 </w:instrText>
      </w:r>
      <w:r>
        <w:rPr>
          <w:rFonts w:eastAsia="方正仿宋_GBK"/>
          <w:b w:val="0"/>
          <w:bCs/>
          <w:sz w:val="28"/>
          <w:szCs w:val="28"/>
          <w:shd w:val="clear" w:color="auto" w:fill="auto"/>
        </w:rPr>
        <w:fldChar w:fldCharType="separate"/>
      </w:r>
      <w:r>
        <w:rPr>
          <w:rFonts w:eastAsia="方正仿宋_GBK"/>
          <w:b w:val="0"/>
          <w:bCs/>
          <w:sz w:val="28"/>
          <w:szCs w:val="28"/>
          <w:shd w:val="clear" w:color="auto" w:fill="auto"/>
        </w:rPr>
        <w:t>7</w:t>
      </w:r>
      <w:r>
        <w:rPr>
          <w:rFonts w:eastAsia="方正仿宋_GBK"/>
          <w:b w:val="0"/>
          <w:bCs/>
          <w:sz w:val="28"/>
          <w:szCs w:val="28"/>
          <w:shd w:val="clear" w:color="auto" w:fill="auto"/>
        </w:rPr>
        <w:fldChar w:fldCharType="end"/>
      </w:r>
      <w:r>
        <w:rPr>
          <w:rFonts w:hint="eastAsia" w:eastAsia="方正仿宋_GBK" w:cs="方正仿宋_GBK"/>
          <w:b w:val="0"/>
          <w:bCs/>
          <w:sz w:val="28"/>
          <w:szCs w:val="28"/>
          <w:shd w:val="clear" w:color="auto" w:fill="auto"/>
        </w:rPr>
        <w:fldChar w:fldCharType="end"/>
      </w:r>
    </w:p>
    <w:p>
      <w:pPr>
        <w:pStyle w:val="21"/>
        <w:keepNext w:val="0"/>
        <w:keepLines w:val="0"/>
        <w:pageBreakBefore w:val="0"/>
        <w:widowControl w:val="0"/>
        <w:tabs>
          <w:tab w:val="right" w:leader="dot" w:pos="8306"/>
          <w:tab w:val="clear" w:pos="8296"/>
        </w:tabs>
        <w:kinsoku/>
        <w:wordWrap/>
        <w:overflowPunct/>
        <w:topLinePunct w:val="0"/>
        <w:autoSpaceDE/>
        <w:autoSpaceDN/>
        <w:bidi w:val="0"/>
        <w:adjustRightInd/>
        <w:snapToGrid/>
        <w:spacing w:before="0" w:after="0" w:line="380" w:lineRule="exact"/>
        <w:textAlignment w:val="auto"/>
        <w:outlineLvl w:val="9"/>
        <w:rPr>
          <w:rFonts w:hint="eastAsia" w:eastAsia="方正黑体_GBK" w:cs="方正仿宋_GBK"/>
          <w:b w:val="0"/>
          <w:bCs/>
          <w:sz w:val="28"/>
          <w:szCs w:val="28"/>
          <w:shd w:val="clear" w:color="auto" w:fill="auto"/>
        </w:rPr>
      </w:pPr>
      <w:r>
        <w:rPr>
          <w:rFonts w:hint="eastAsia" w:eastAsia="方正黑体_GBK" w:cs="方正仿宋_GBK"/>
          <w:b w:val="0"/>
          <w:bCs/>
          <w:sz w:val="28"/>
          <w:szCs w:val="28"/>
          <w:shd w:val="clear" w:color="auto" w:fill="auto"/>
        </w:rPr>
        <w:fldChar w:fldCharType="begin"/>
      </w:r>
      <w:r>
        <w:rPr>
          <w:rFonts w:hint="eastAsia" w:eastAsia="方正黑体_GBK" w:cs="方正仿宋_GBK"/>
          <w:b w:val="0"/>
          <w:bCs/>
          <w:sz w:val="28"/>
          <w:szCs w:val="28"/>
          <w:shd w:val="clear" w:color="auto" w:fill="auto"/>
        </w:rPr>
        <w:instrText xml:space="preserve"> HYPERLINK \l _Toc1808496340 </w:instrText>
      </w:r>
      <w:r>
        <w:rPr>
          <w:rFonts w:hint="eastAsia" w:eastAsia="方正黑体_GBK" w:cs="方正仿宋_GBK"/>
          <w:b w:val="0"/>
          <w:bCs/>
          <w:sz w:val="28"/>
          <w:szCs w:val="28"/>
          <w:shd w:val="clear" w:color="auto" w:fill="auto"/>
        </w:rPr>
        <w:fldChar w:fldCharType="separate"/>
      </w:r>
      <w:r>
        <w:rPr>
          <w:rFonts w:hint="eastAsia" w:eastAsia="方正黑体_GBK" w:cs="方正仿宋_GBK"/>
          <w:b w:val="0"/>
          <w:bCs/>
          <w:sz w:val="28"/>
          <w:szCs w:val="28"/>
          <w:shd w:val="clear" w:color="auto" w:fill="auto"/>
        </w:rPr>
        <w:t>第一章  未成年人互联网普及情况</w:t>
      </w:r>
      <w:r>
        <w:rPr>
          <w:rFonts w:hint="eastAsia" w:eastAsia="方正黑体_GBK" w:cs="方正仿宋_GBK"/>
          <w:b w:val="0"/>
          <w:bCs/>
          <w:sz w:val="28"/>
          <w:szCs w:val="28"/>
          <w:shd w:val="clear" w:color="auto" w:fill="auto"/>
        </w:rPr>
        <w:tab/>
      </w:r>
      <w:r>
        <w:rPr>
          <w:rFonts w:hint="eastAsia" w:eastAsia="方正黑体_GBK" w:cs="方正仿宋_GBK"/>
          <w:b w:val="0"/>
          <w:bCs/>
          <w:sz w:val="28"/>
          <w:szCs w:val="28"/>
          <w:shd w:val="clear" w:color="auto" w:fill="auto"/>
        </w:rPr>
        <w:fldChar w:fldCharType="begin"/>
      </w:r>
      <w:r>
        <w:rPr>
          <w:rFonts w:hint="eastAsia" w:eastAsia="方正黑体_GBK" w:cs="方正仿宋_GBK"/>
          <w:b w:val="0"/>
          <w:bCs/>
          <w:sz w:val="28"/>
          <w:szCs w:val="28"/>
          <w:shd w:val="clear" w:color="auto" w:fill="auto"/>
        </w:rPr>
        <w:instrText xml:space="preserve"> PAGEREF _Toc1808496340 </w:instrText>
      </w:r>
      <w:r>
        <w:rPr>
          <w:rFonts w:hint="eastAsia" w:eastAsia="方正黑体_GBK" w:cs="方正仿宋_GBK"/>
          <w:b w:val="0"/>
          <w:bCs/>
          <w:sz w:val="28"/>
          <w:szCs w:val="28"/>
          <w:shd w:val="clear" w:color="auto" w:fill="auto"/>
        </w:rPr>
        <w:fldChar w:fldCharType="separate"/>
      </w:r>
      <w:r>
        <w:rPr>
          <w:rFonts w:hint="eastAsia" w:eastAsia="方正黑体_GBK" w:cs="方正仿宋_GBK"/>
          <w:b w:val="0"/>
          <w:bCs/>
          <w:sz w:val="28"/>
          <w:szCs w:val="28"/>
          <w:shd w:val="clear" w:color="auto" w:fill="auto"/>
        </w:rPr>
        <w:t>11</w:t>
      </w:r>
      <w:r>
        <w:rPr>
          <w:rFonts w:hint="eastAsia" w:eastAsia="方正黑体_GBK" w:cs="方正仿宋_GBK"/>
          <w:b w:val="0"/>
          <w:bCs/>
          <w:sz w:val="28"/>
          <w:szCs w:val="28"/>
          <w:shd w:val="clear" w:color="auto" w:fill="auto"/>
        </w:rPr>
        <w:fldChar w:fldCharType="end"/>
      </w:r>
      <w:r>
        <w:rPr>
          <w:rFonts w:hint="eastAsia" w:eastAsia="方正黑体_GBK" w:cs="方正仿宋_GBK"/>
          <w:b w:val="0"/>
          <w:bCs/>
          <w:sz w:val="28"/>
          <w:szCs w:val="28"/>
          <w:shd w:val="clear" w:color="auto" w:fill="auto"/>
        </w:rPr>
        <w:fldChar w:fldCharType="end"/>
      </w:r>
    </w:p>
    <w:p>
      <w:pPr>
        <w:pStyle w:val="26"/>
        <w:keepNext w:val="0"/>
        <w:keepLines w:val="0"/>
        <w:pageBreakBefore w:val="0"/>
        <w:widowControl w:val="0"/>
        <w:tabs>
          <w:tab w:val="right" w:leader="dot" w:pos="8306"/>
          <w:tab w:val="clear" w:pos="1260"/>
          <w:tab w:val="clear" w:pos="8296"/>
        </w:tabs>
        <w:kinsoku/>
        <w:wordWrap/>
        <w:overflowPunct/>
        <w:topLinePunct w:val="0"/>
        <w:autoSpaceDE/>
        <w:autoSpaceDN/>
        <w:bidi w:val="0"/>
        <w:adjustRightInd/>
        <w:snapToGrid/>
        <w:spacing w:line="380" w:lineRule="exact"/>
        <w:textAlignment w:val="auto"/>
        <w:outlineLvl w:val="9"/>
        <w:rPr>
          <w:rFonts w:eastAsia="方正仿宋_GBK"/>
          <w:b w:val="0"/>
          <w:bCs/>
          <w:sz w:val="28"/>
          <w:szCs w:val="28"/>
          <w:shd w:val="clear" w:color="auto" w:fill="auto"/>
        </w:rPr>
      </w:pPr>
      <w:r>
        <w:rPr>
          <w:rFonts w:hint="eastAsia" w:eastAsia="方正仿宋_GBK" w:cs="方正仿宋_GBK"/>
          <w:b w:val="0"/>
          <w:bCs/>
          <w:sz w:val="28"/>
          <w:szCs w:val="28"/>
          <w:shd w:val="clear" w:color="auto" w:fill="auto"/>
        </w:rPr>
        <w:fldChar w:fldCharType="begin"/>
      </w:r>
      <w:r>
        <w:rPr>
          <w:rFonts w:hint="eastAsia" w:eastAsia="方正仿宋_GBK" w:cs="方正仿宋_GBK"/>
          <w:b w:val="0"/>
          <w:bCs/>
          <w:sz w:val="28"/>
          <w:szCs w:val="28"/>
          <w:shd w:val="clear" w:color="auto" w:fill="auto"/>
        </w:rPr>
        <w:instrText xml:space="preserve"> HYPERLINK \l _Toc2033745341 </w:instrText>
      </w:r>
      <w:r>
        <w:rPr>
          <w:rFonts w:hint="eastAsia" w:eastAsia="方正仿宋_GBK" w:cs="方正仿宋_GBK"/>
          <w:b w:val="0"/>
          <w:bCs/>
          <w:sz w:val="28"/>
          <w:szCs w:val="28"/>
          <w:shd w:val="clear" w:color="auto" w:fill="auto"/>
        </w:rPr>
        <w:fldChar w:fldCharType="separate"/>
      </w:r>
      <w:r>
        <w:rPr>
          <w:rFonts w:hint="eastAsia" w:eastAsia="方正仿宋_GBK" w:cs="方正黑体_GBK"/>
          <w:b w:val="0"/>
          <w:bCs/>
          <w:sz w:val="28"/>
          <w:szCs w:val="28"/>
          <w:shd w:val="clear" w:color="auto" w:fill="auto"/>
        </w:rPr>
        <w:t>一、未成年网民规模及普及率</w:t>
      </w:r>
      <w:r>
        <w:rPr>
          <w:rFonts w:eastAsia="方正仿宋_GBK"/>
          <w:b w:val="0"/>
          <w:bCs/>
          <w:sz w:val="28"/>
          <w:szCs w:val="28"/>
          <w:shd w:val="clear" w:color="auto" w:fill="auto"/>
        </w:rPr>
        <w:tab/>
      </w:r>
      <w:r>
        <w:rPr>
          <w:rFonts w:eastAsia="方正仿宋_GBK"/>
          <w:b w:val="0"/>
          <w:bCs/>
          <w:sz w:val="28"/>
          <w:szCs w:val="28"/>
          <w:shd w:val="clear" w:color="auto" w:fill="auto"/>
        </w:rPr>
        <w:fldChar w:fldCharType="begin"/>
      </w:r>
      <w:r>
        <w:rPr>
          <w:rFonts w:eastAsia="方正仿宋_GBK"/>
          <w:b w:val="0"/>
          <w:bCs/>
          <w:sz w:val="28"/>
          <w:szCs w:val="28"/>
          <w:shd w:val="clear" w:color="auto" w:fill="auto"/>
        </w:rPr>
        <w:instrText xml:space="preserve"> PAGEREF _Toc2033745341 </w:instrText>
      </w:r>
      <w:r>
        <w:rPr>
          <w:rFonts w:eastAsia="方正仿宋_GBK"/>
          <w:b w:val="0"/>
          <w:bCs/>
          <w:sz w:val="28"/>
          <w:szCs w:val="28"/>
          <w:shd w:val="clear" w:color="auto" w:fill="auto"/>
        </w:rPr>
        <w:fldChar w:fldCharType="separate"/>
      </w:r>
      <w:r>
        <w:rPr>
          <w:rFonts w:eastAsia="方正仿宋_GBK"/>
          <w:b w:val="0"/>
          <w:bCs/>
          <w:sz w:val="28"/>
          <w:szCs w:val="28"/>
          <w:shd w:val="clear" w:color="auto" w:fill="auto"/>
        </w:rPr>
        <w:t>11</w:t>
      </w:r>
      <w:r>
        <w:rPr>
          <w:rFonts w:eastAsia="方正仿宋_GBK"/>
          <w:b w:val="0"/>
          <w:bCs/>
          <w:sz w:val="28"/>
          <w:szCs w:val="28"/>
          <w:shd w:val="clear" w:color="auto" w:fill="auto"/>
        </w:rPr>
        <w:fldChar w:fldCharType="end"/>
      </w:r>
      <w:r>
        <w:rPr>
          <w:rFonts w:hint="eastAsia" w:eastAsia="方正仿宋_GBK" w:cs="方正仿宋_GBK"/>
          <w:b w:val="0"/>
          <w:bCs/>
          <w:sz w:val="28"/>
          <w:szCs w:val="28"/>
          <w:shd w:val="clear" w:color="auto" w:fill="auto"/>
        </w:rPr>
        <w:fldChar w:fldCharType="end"/>
      </w:r>
    </w:p>
    <w:p>
      <w:pPr>
        <w:pStyle w:val="26"/>
        <w:keepNext w:val="0"/>
        <w:keepLines w:val="0"/>
        <w:pageBreakBefore w:val="0"/>
        <w:widowControl w:val="0"/>
        <w:tabs>
          <w:tab w:val="right" w:leader="dot" w:pos="8306"/>
          <w:tab w:val="clear" w:pos="1260"/>
          <w:tab w:val="clear" w:pos="8296"/>
        </w:tabs>
        <w:kinsoku/>
        <w:wordWrap/>
        <w:overflowPunct/>
        <w:topLinePunct w:val="0"/>
        <w:autoSpaceDE/>
        <w:autoSpaceDN/>
        <w:bidi w:val="0"/>
        <w:adjustRightInd/>
        <w:snapToGrid/>
        <w:spacing w:line="380" w:lineRule="exact"/>
        <w:textAlignment w:val="auto"/>
        <w:outlineLvl w:val="9"/>
        <w:rPr>
          <w:rFonts w:eastAsia="方正仿宋_GBK"/>
          <w:b w:val="0"/>
          <w:bCs/>
          <w:sz w:val="28"/>
          <w:szCs w:val="28"/>
          <w:shd w:val="clear" w:color="auto" w:fill="auto"/>
        </w:rPr>
      </w:pPr>
      <w:r>
        <w:rPr>
          <w:rFonts w:hint="eastAsia" w:eastAsia="方正仿宋_GBK" w:cs="方正仿宋_GBK"/>
          <w:b w:val="0"/>
          <w:bCs/>
          <w:sz w:val="28"/>
          <w:szCs w:val="28"/>
          <w:shd w:val="clear" w:color="auto" w:fill="auto"/>
        </w:rPr>
        <w:fldChar w:fldCharType="begin"/>
      </w:r>
      <w:r>
        <w:rPr>
          <w:rFonts w:hint="eastAsia" w:eastAsia="方正仿宋_GBK" w:cs="方正仿宋_GBK"/>
          <w:b w:val="0"/>
          <w:bCs/>
          <w:sz w:val="28"/>
          <w:szCs w:val="28"/>
          <w:shd w:val="clear" w:color="auto" w:fill="auto"/>
        </w:rPr>
        <w:instrText xml:space="preserve"> HYPERLINK \l _Toc241278403 </w:instrText>
      </w:r>
      <w:r>
        <w:rPr>
          <w:rFonts w:hint="eastAsia" w:eastAsia="方正仿宋_GBK" w:cs="方正仿宋_GBK"/>
          <w:b w:val="0"/>
          <w:bCs/>
          <w:sz w:val="28"/>
          <w:szCs w:val="28"/>
          <w:shd w:val="clear" w:color="auto" w:fill="auto"/>
        </w:rPr>
        <w:fldChar w:fldCharType="separate"/>
      </w:r>
      <w:r>
        <w:rPr>
          <w:rFonts w:hint="eastAsia" w:eastAsia="方正仿宋_GBK" w:cs="方正黑体_GBK"/>
          <w:b w:val="0"/>
          <w:bCs/>
          <w:sz w:val="28"/>
          <w:szCs w:val="28"/>
          <w:shd w:val="clear" w:color="auto" w:fill="auto"/>
        </w:rPr>
        <w:t>二、城乡未成年人互联网普及率</w:t>
      </w:r>
      <w:r>
        <w:rPr>
          <w:rFonts w:eastAsia="方正仿宋_GBK"/>
          <w:b w:val="0"/>
          <w:bCs/>
          <w:sz w:val="28"/>
          <w:szCs w:val="28"/>
          <w:shd w:val="clear" w:color="auto" w:fill="auto"/>
        </w:rPr>
        <w:tab/>
      </w:r>
      <w:r>
        <w:rPr>
          <w:rFonts w:eastAsia="方正仿宋_GBK"/>
          <w:b w:val="0"/>
          <w:bCs/>
          <w:sz w:val="28"/>
          <w:szCs w:val="28"/>
          <w:shd w:val="clear" w:color="auto" w:fill="auto"/>
        </w:rPr>
        <w:fldChar w:fldCharType="begin"/>
      </w:r>
      <w:r>
        <w:rPr>
          <w:rFonts w:eastAsia="方正仿宋_GBK"/>
          <w:b w:val="0"/>
          <w:bCs/>
          <w:sz w:val="28"/>
          <w:szCs w:val="28"/>
          <w:shd w:val="clear" w:color="auto" w:fill="auto"/>
        </w:rPr>
        <w:instrText xml:space="preserve"> PAGEREF _Toc241278403 </w:instrText>
      </w:r>
      <w:r>
        <w:rPr>
          <w:rFonts w:eastAsia="方正仿宋_GBK"/>
          <w:b w:val="0"/>
          <w:bCs/>
          <w:sz w:val="28"/>
          <w:szCs w:val="28"/>
          <w:shd w:val="clear" w:color="auto" w:fill="auto"/>
        </w:rPr>
        <w:fldChar w:fldCharType="separate"/>
      </w:r>
      <w:r>
        <w:rPr>
          <w:rFonts w:eastAsia="方正仿宋_GBK"/>
          <w:b w:val="0"/>
          <w:bCs/>
          <w:sz w:val="28"/>
          <w:szCs w:val="28"/>
          <w:shd w:val="clear" w:color="auto" w:fill="auto"/>
        </w:rPr>
        <w:t>11</w:t>
      </w:r>
      <w:r>
        <w:rPr>
          <w:rFonts w:eastAsia="方正仿宋_GBK"/>
          <w:b w:val="0"/>
          <w:bCs/>
          <w:sz w:val="28"/>
          <w:szCs w:val="28"/>
          <w:shd w:val="clear" w:color="auto" w:fill="auto"/>
        </w:rPr>
        <w:fldChar w:fldCharType="end"/>
      </w:r>
      <w:r>
        <w:rPr>
          <w:rFonts w:hint="eastAsia" w:eastAsia="方正仿宋_GBK" w:cs="方正仿宋_GBK"/>
          <w:b w:val="0"/>
          <w:bCs/>
          <w:sz w:val="28"/>
          <w:szCs w:val="28"/>
          <w:shd w:val="clear" w:color="auto" w:fill="auto"/>
        </w:rPr>
        <w:fldChar w:fldCharType="end"/>
      </w:r>
    </w:p>
    <w:p>
      <w:pPr>
        <w:pStyle w:val="26"/>
        <w:keepNext w:val="0"/>
        <w:keepLines w:val="0"/>
        <w:pageBreakBefore w:val="0"/>
        <w:widowControl w:val="0"/>
        <w:tabs>
          <w:tab w:val="right" w:leader="dot" w:pos="8306"/>
          <w:tab w:val="clear" w:pos="1260"/>
          <w:tab w:val="clear" w:pos="8296"/>
        </w:tabs>
        <w:kinsoku/>
        <w:wordWrap/>
        <w:overflowPunct/>
        <w:topLinePunct w:val="0"/>
        <w:autoSpaceDE/>
        <w:autoSpaceDN/>
        <w:bidi w:val="0"/>
        <w:adjustRightInd/>
        <w:snapToGrid/>
        <w:spacing w:line="380" w:lineRule="exact"/>
        <w:textAlignment w:val="auto"/>
        <w:outlineLvl w:val="9"/>
        <w:rPr>
          <w:rFonts w:eastAsia="方正仿宋_GBK"/>
          <w:b w:val="0"/>
          <w:bCs/>
          <w:sz w:val="28"/>
          <w:szCs w:val="28"/>
          <w:shd w:val="clear" w:color="auto" w:fill="auto"/>
        </w:rPr>
      </w:pPr>
      <w:r>
        <w:rPr>
          <w:rFonts w:hint="eastAsia" w:eastAsia="方正仿宋_GBK" w:cs="方正仿宋_GBK"/>
          <w:b w:val="0"/>
          <w:bCs/>
          <w:sz w:val="28"/>
          <w:szCs w:val="28"/>
          <w:shd w:val="clear" w:color="auto" w:fill="auto"/>
        </w:rPr>
        <w:fldChar w:fldCharType="begin"/>
      </w:r>
      <w:r>
        <w:rPr>
          <w:rFonts w:hint="eastAsia" w:eastAsia="方正仿宋_GBK" w:cs="方正仿宋_GBK"/>
          <w:b w:val="0"/>
          <w:bCs/>
          <w:sz w:val="28"/>
          <w:szCs w:val="28"/>
          <w:shd w:val="clear" w:color="auto" w:fill="auto"/>
        </w:rPr>
        <w:instrText xml:space="preserve"> HYPERLINK \l _Toc649062089 </w:instrText>
      </w:r>
      <w:r>
        <w:rPr>
          <w:rFonts w:hint="eastAsia" w:eastAsia="方正仿宋_GBK" w:cs="方正仿宋_GBK"/>
          <w:b w:val="0"/>
          <w:bCs/>
          <w:sz w:val="28"/>
          <w:szCs w:val="28"/>
          <w:shd w:val="clear" w:color="auto" w:fill="auto"/>
        </w:rPr>
        <w:fldChar w:fldCharType="separate"/>
      </w:r>
      <w:r>
        <w:rPr>
          <w:rFonts w:hint="eastAsia" w:eastAsia="方正仿宋_GBK" w:cs="方正黑体_GBK"/>
          <w:b w:val="0"/>
          <w:bCs/>
          <w:sz w:val="28"/>
          <w:szCs w:val="28"/>
          <w:shd w:val="clear" w:color="auto" w:fill="auto"/>
        </w:rPr>
        <w:t>三、不同学历段未成年人互联网普及率</w:t>
      </w:r>
      <w:r>
        <w:rPr>
          <w:rFonts w:eastAsia="方正仿宋_GBK"/>
          <w:b w:val="0"/>
          <w:bCs/>
          <w:sz w:val="28"/>
          <w:szCs w:val="28"/>
          <w:shd w:val="clear" w:color="auto" w:fill="auto"/>
        </w:rPr>
        <w:tab/>
      </w:r>
      <w:r>
        <w:rPr>
          <w:rFonts w:eastAsia="方正仿宋_GBK"/>
          <w:b w:val="0"/>
          <w:bCs/>
          <w:sz w:val="28"/>
          <w:szCs w:val="28"/>
          <w:shd w:val="clear" w:color="auto" w:fill="auto"/>
        </w:rPr>
        <w:fldChar w:fldCharType="begin"/>
      </w:r>
      <w:r>
        <w:rPr>
          <w:rFonts w:eastAsia="方正仿宋_GBK"/>
          <w:b w:val="0"/>
          <w:bCs/>
          <w:sz w:val="28"/>
          <w:szCs w:val="28"/>
          <w:shd w:val="clear" w:color="auto" w:fill="auto"/>
        </w:rPr>
        <w:instrText xml:space="preserve"> PAGEREF _Toc649062089 </w:instrText>
      </w:r>
      <w:r>
        <w:rPr>
          <w:rFonts w:eastAsia="方正仿宋_GBK"/>
          <w:b w:val="0"/>
          <w:bCs/>
          <w:sz w:val="28"/>
          <w:szCs w:val="28"/>
          <w:shd w:val="clear" w:color="auto" w:fill="auto"/>
        </w:rPr>
        <w:fldChar w:fldCharType="separate"/>
      </w:r>
      <w:r>
        <w:rPr>
          <w:rFonts w:eastAsia="方正仿宋_GBK"/>
          <w:b w:val="0"/>
          <w:bCs/>
          <w:sz w:val="28"/>
          <w:szCs w:val="28"/>
          <w:shd w:val="clear" w:color="auto" w:fill="auto"/>
        </w:rPr>
        <w:t>12</w:t>
      </w:r>
      <w:r>
        <w:rPr>
          <w:rFonts w:eastAsia="方正仿宋_GBK"/>
          <w:b w:val="0"/>
          <w:bCs/>
          <w:sz w:val="28"/>
          <w:szCs w:val="28"/>
          <w:shd w:val="clear" w:color="auto" w:fill="auto"/>
        </w:rPr>
        <w:fldChar w:fldCharType="end"/>
      </w:r>
      <w:r>
        <w:rPr>
          <w:rFonts w:hint="eastAsia" w:eastAsia="方正仿宋_GBK" w:cs="方正仿宋_GBK"/>
          <w:b w:val="0"/>
          <w:bCs/>
          <w:sz w:val="28"/>
          <w:szCs w:val="28"/>
          <w:shd w:val="clear" w:color="auto" w:fill="auto"/>
        </w:rPr>
        <w:fldChar w:fldCharType="end"/>
      </w:r>
    </w:p>
    <w:p>
      <w:pPr>
        <w:pStyle w:val="26"/>
        <w:keepNext w:val="0"/>
        <w:keepLines w:val="0"/>
        <w:pageBreakBefore w:val="0"/>
        <w:widowControl w:val="0"/>
        <w:tabs>
          <w:tab w:val="right" w:leader="dot" w:pos="8306"/>
          <w:tab w:val="clear" w:pos="1260"/>
          <w:tab w:val="clear" w:pos="8296"/>
        </w:tabs>
        <w:kinsoku/>
        <w:wordWrap/>
        <w:overflowPunct/>
        <w:topLinePunct w:val="0"/>
        <w:autoSpaceDE/>
        <w:autoSpaceDN/>
        <w:bidi w:val="0"/>
        <w:adjustRightInd/>
        <w:snapToGrid/>
        <w:spacing w:line="380" w:lineRule="exact"/>
        <w:textAlignment w:val="auto"/>
        <w:outlineLvl w:val="9"/>
        <w:rPr>
          <w:rFonts w:eastAsia="方正仿宋_GBK"/>
          <w:b w:val="0"/>
          <w:bCs/>
          <w:sz w:val="28"/>
          <w:szCs w:val="28"/>
          <w:shd w:val="clear" w:color="auto" w:fill="auto"/>
        </w:rPr>
      </w:pPr>
      <w:r>
        <w:rPr>
          <w:rFonts w:hint="eastAsia" w:eastAsia="方正仿宋_GBK" w:cs="方正仿宋_GBK"/>
          <w:b w:val="0"/>
          <w:bCs/>
          <w:sz w:val="28"/>
          <w:szCs w:val="28"/>
          <w:shd w:val="clear" w:color="auto" w:fill="auto"/>
        </w:rPr>
        <w:fldChar w:fldCharType="begin"/>
      </w:r>
      <w:r>
        <w:rPr>
          <w:rFonts w:hint="eastAsia" w:eastAsia="方正仿宋_GBK" w:cs="方正仿宋_GBK"/>
          <w:b w:val="0"/>
          <w:bCs/>
          <w:sz w:val="28"/>
          <w:szCs w:val="28"/>
          <w:shd w:val="clear" w:color="auto" w:fill="auto"/>
        </w:rPr>
        <w:instrText xml:space="preserve"> HYPERLINK \l _Toc1405259522 </w:instrText>
      </w:r>
      <w:r>
        <w:rPr>
          <w:rFonts w:hint="eastAsia" w:eastAsia="方正仿宋_GBK" w:cs="方正仿宋_GBK"/>
          <w:b w:val="0"/>
          <w:bCs/>
          <w:sz w:val="28"/>
          <w:szCs w:val="28"/>
          <w:shd w:val="clear" w:color="auto" w:fill="auto"/>
        </w:rPr>
        <w:fldChar w:fldCharType="separate"/>
      </w:r>
      <w:r>
        <w:rPr>
          <w:rFonts w:hint="eastAsia" w:eastAsia="方正仿宋_GBK" w:cs="方正黑体_GBK"/>
          <w:b w:val="0"/>
          <w:bCs/>
          <w:sz w:val="28"/>
          <w:szCs w:val="28"/>
          <w:shd w:val="clear" w:color="auto" w:fill="auto"/>
        </w:rPr>
        <w:t>四、未成年人首次上网时间</w:t>
      </w:r>
      <w:r>
        <w:rPr>
          <w:rFonts w:eastAsia="方正仿宋_GBK"/>
          <w:b w:val="0"/>
          <w:bCs/>
          <w:sz w:val="28"/>
          <w:szCs w:val="28"/>
          <w:shd w:val="clear" w:color="auto" w:fill="auto"/>
        </w:rPr>
        <w:tab/>
      </w:r>
      <w:r>
        <w:rPr>
          <w:rFonts w:eastAsia="方正仿宋_GBK"/>
          <w:b w:val="0"/>
          <w:bCs/>
          <w:sz w:val="28"/>
          <w:szCs w:val="28"/>
          <w:shd w:val="clear" w:color="auto" w:fill="auto"/>
        </w:rPr>
        <w:fldChar w:fldCharType="begin"/>
      </w:r>
      <w:r>
        <w:rPr>
          <w:rFonts w:eastAsia="方正仿宋_GBK"/>
          <w:b w:val="0"/>
          <w:bCs/>
          <w:sz w:val="28"/>
          <w:szCs w:val="28"/>
          <w:shd w:val="clear" w:color="auto" w:fill="auto"/>
        </w:rPr>
        <w:instrText xml:space="preserve"> PAGEREF _Toc1405259522 </w:instrText>
      </w:r>
      <w:r>
        <w:rPr>
          <w:rFonts w:eastAsia="方正仿宋_GBK"/>
          <w:b w:val="0"/>
          <w:bCs/>
          <w:sz w:val="28"/>
          <w:szCs w:val="28"/>
          <w:shd w:val="clear" w:color="auto" w:fill="auto"/>
        </w:rPr>
        <w:fldChar w:fldCharType="separate"/>
      </w:r>
      <w:r>
        <w:rPr>
          <w:rFonts w:eastAsia="方正仿宋_GBK"/>
          <w:b w:val="0"/>
          <w:bCs/>
          <w:sz w:val="28"/>
          <w:szCs w:val="28"/>
          <w:shd w:val="clear" w:color="auto" w:fill="auto"/>
        </w:rPr>
        <w:t>13</w:t>
      </w:r>
      <w:r>
        <w:rPr>
          <w:rFonts w:eastAsia="方正仿宋_GBK"/>
          <w:b w:val="0"/>
          <w:bCs/>
          <w:sz w:val="28"/>
          <w:szCs w:val="28"/>
          <w:shd w:val="clear" w:color="auto" w:fill="auto"/>
        </w:rPr>
        <w:fldChar w:fldCharType="end"/>
      </w:r>
      <w:r>
        <w:rPr>
          <w:rFonts w:hint="eastAsia" w:eastAsia="方正仿宋_GBK" w:cs="方正仿宋_GBK"/>
          <w:b w:val="0"/>
          <w:bCs/>
          <w:sz w:val="28"/>
          <w:szCs w:val="28"/>
          <w:shd w:val="clear" w:color="auto" w:fill="auto"/>
        </w:rPr>
        <w:fldChar w:fldCharType="end"/>
      </w:r>
    </w:p>
    <w:p>
      <w:pPr>
        <w:pStyle w:val="21"/>
        <w:keepNext w:val="0"/>
        <w:keepLines w:val="0"/>
        <w:pageBreakBefore w:val="0"/>
        <w:widowControl w:val="0"/>
        <w:tabs>
          <w:tab w:val="right" w:leader="dot" w:pos="8306"/>
          <w:tab w:val="clear" w:pos="8296"/>
        </w:tabs>
        <w:kinsoku/>
        <w:wordWrap/>
        <w:overflowPunct/>
        <w:topLinePunct w:val="0"/>
        <w:autoSpaceDE/>
        <w:autoSpaceDN/>
        <w:bidi w:val="0"/>
        <w:adjustRightInd/>
        <w:snapToGrid/>
        <w:spacing w:before="0" w:after="0" w:line="380" w:lineRule="exact"/>
        <w:textAlignment w:val="auto"/>
        <w:outlineLvl w:val="9"/>
        <w:rPr>
          <w:rFonts w:hint="eastAsia" w:eastAsia="方正黑体_GBK" w:cs="方正仿宋_GBK"/>
          <w:b w:val="0"/>
          <w:bCs/>
          <w:sz w:val="28"/>
          <w:szCs w:val="28"/>
          <w:shd w:val="clear" w:color="auto" w:fill="auto"/>
        </w:rPr>
      </w:pPr>
      <w:r>
        <w:rPr>
          <w:rFonts w:hint="eastAsia" w:eastAsia="方正黑体_GBK" w:cs="方正仿宋_GBK"/>
          <w:b w:val="0"/>
          <w:bCs/>
          <w:sz w:val="28"/>
          <w:szCs w:val="28"/>
          <w:shd w:val="clear" w:color="auto" w:fill="auto"/>
        </w:rPr>
        <w:fldChar w:fldCharType="begin"/>
      </w:r>
      <w:r>
        <w:rPr>
          <w:rFonts w:hint="eastAsia" w:eastAsia="方正黑体_GBK" w:cs="方正仿宋_GBK"/>
          <w:b w:val="0"/>
          <w:bCs/>
          <w:sz w:val="28"/>
          <w:szCs w:val="28"/>
          <w:shd w:val="clear" w:color="auto" w:fill="auto"/>
        </w:rPr>
        <w:instrText xml:space="preserve"> HYPERLINK \l _Toc468240777 </w:instrText>
      </w:r>
      <w:r>
        <w:rPr>
          <w:rFonts w:hint="eastAsia" w:eastAsia="方正黑体_GBK" w:cs="方正仿宋_GBK"/>
          <w:b w:val="0"/>
          <w:bCs/>
          <w:sz w:val="28"/>
          <w:szCs w:val="28"/>
          <w:shd w:val="clear" w:color="auto" w:fill="auto"/>
        </w:rPr>
        <w:fldChar w:fldCharType="separate"/>
      </w:r>
      <w:r>
        <w:rPr>
          <w:rFonts w:hint="eastAsia" w:eastAsia="方正黑体_GBK" w:cs="方正仿宋_GBK"/>
          <w:b w:val="0"/>
          <w:bCs/>
          <w:sz w:val="28"/>
          <w:szCs w:val="28"/>
          <w:shd w:val="clear" w:color="auto" w:fill="auto"/>
        </w:rPr>
        <w:t>第二章  未成年人互联网接入环境</w:t>
      </w:r>
      <w:r>
        <w:rPr>
          <w:rFonts w:hint="eastAsia" w:eastAsia="方正黑体_GBK" w:cs="方正仿宋_GBK"/>
          <w:b w:val="0"/>
          <w:bCs/>
          <w:sz w:val="28"/>
          <w:szCs w:val="28"/>
          <w:shd w:val="clear" w:color="auto" w:fill="auto"/>
        </w:rPr>
        <w:tab/>
      </w:r>
      <w:r>
        <w:rPr>
          <w:rFonts w:hint="eastAsia" w:eastAsia="方正黑体_GBK" w:cs="方正仿宋_GBK"/>
          <w:b w:val="0"/>
          <w:bCs/>
          <w:sz w:val="28"/>
          <w:szCs w:val="28"/>
          <w:shd w:val="clear" w:color="auto" w:fill="auto"/>
        </w:rPr>
        <w:fldChar w:fldCharType="begin"/>
      </w:r>
      <w:r>
        <w:rPr>
          <w:rFonts w:hint="eastAsia" w:eastAsia="方正黑体_GBK" w:cs="方正仿宋_GBK"/>
          <w:b w:val="0"/>
          <w:bCs/>
          <w:sz w:val="28"/>
          <w:szCs w:val="28"/>
          <w:shd w:val="clear" w:color="auto" w:fill="auto"/>
        </w:rPr>
        <w:instrText xml:space="preserve"> PAGEREF _Toc468240777 </w:instrText>
      </w:r>
      <w:r>
        <w:rPr>
          <w:rFonts w:hint="eastAsia" w:eastAsia="方正黑体_GBK" w:cs="方正仿宋_GBK"/>
          <w:b w:val="0"/>
          <w:bCs/>
          <w:sz w:val="28"/>
          <w:szCs w:val="28"/>
          <w:shd w:val="clear" w:color="auto" w:fill="auto"/>
        </w:rPr>
        <w:fldChar w:fldCharType="separate"/>
      </w:r>
      <w:r>
        <w:rPr>
          <w:rFonts w:hint="eastAsia" w:eastAsia="方正黑体_GBK" w:cs="方正仿宋_GBK"/>
          <w:b w:val="0"/>
          <w:bCs/>
          <w:sz w:val="28"/>
          <w:szCs w:val="28"/>
          <w:shd w:val="clear" w:color="auto" w:fill="auto"/>
        </w:rPr>
        <w:t>15</w:t>
      </w:r>
      <w:r>
        <w:rPr>
          <w:rFonts w:hint="eastAsia" w:eastAsia="方正黑体_GBK" w:cs="方正仿宋_GBK"/>
          <w:b w:val="0"/>
          <w:bCs/>
          <w:sz w:val="28"/>
          <w:szCs w:val="28"/>
          <w:shd w:val="clear" w:color="auto" w:fill="auto"/>
        </w:rPr>
        <w:fldChar w:fldCharType="end"/>
      </w:r>
      <w:r>
        <w:rPr>
          <w:rFonts w:hint="eastAsia" w:eastAsia="方正黑体_GBK" w:cs="方正仿宋_GBK"/>
          <w:b w:val="0"/>
          <w:bCs/>
          <w:sz w:val="28"/>
          <w:szCs w:val="28"/>
          <w:shd w:val="clear" w:color="auto" w:fill="auto"/>
        </w:rPr>
        <w:fldChar w:fldCharType="end"/>
      </w:r>
    </w:p>
    <w:p>
      <w:pPr>
        <w:pStyle w:val="26"/>
        <w:keepNext w:val="0"/>
        <w:keepLines w:val="0"/>
        <w:pageBreakBefore w:val="0"/>
        <w:widowControl w:val="0"/>
        <w:tabs>
          <w:tab w:val="right" w:leader="dot" w:pos="8306"/>
          <w:tab w:val="clear" w:pos="1260"/>
          <w:tab w:val="clear" w:pos="8296"/>
        </w:tabs>
        <w:kinsoku/>
        <w:wordWrap/>
        <w:overflowPunct/>
        <w:topLinePunct w:val="0"/>
        <w:autoSpaceDE/>
        <w:autoSpaceDN/>
        <w:bidi w:val="0"/>
        <w:adjustRightInd/>
        <w:snapToGrid/>
        <w:spacing w:line="380" w:lineRule="exact"/>
        <w:textAlignment w:val="auto"/>
        <w:outlineLvl w:val="9"/>
        <w:rPr>
          <w:rFonts w:eastAsia="方正仿宋_GBK"/>
          <w:b w:val="0"/>
          <w:bCs/>
          <w:sz w:val="28"/>
          <w:szCs w:val="28"/>
          <w:shd w:val="clear" w:color="auto" w:fill="auto"/>
        </w:rPr>
      </w:pPr>
      <w:r>
        <w:rPr>
          <w:rFonts w:hint="eastAsia" w:eastAsia="方正仿宋_GBK" w:cs="方正仿宋_GBK"/>
          <w:b w:val="0"/>
          <w:bCs/>
          <w:sz w:val="28"/>
          <w:szCs w:val="28"/>
          <w:shd w:val="clear" w:color="auto" w:fill="auto"/>
        </w:rPr>
        <w:fldChar w:fldCharType="begin"/>
      </w:r>
      <w:r>
        <w:rPr>
          <w:rFonts w:hint="eastAsia" w:eastAsia="方正仿宋_GBK" w:cs="方正仿宋_GBK"/>
          <w:b w:val="0"/>
          <w:bCs/>
          <w:sz w:val="28"/>
          <w:szCs w:val="28"/>
          <w:shd w:val="clear" w:color="auto" w:fill="auto"/>
        </w:rPr>
        <w:instrText xml:space="preserve"> HYPERLINK \l _Toc96891269 </w:instrText>
      </w:r>
      <w:r>
        <w:rPr>
          <w:rFonts w:hint="eastAsia" w:eastAsia="方正仿宋_GBK" w:cs="方正仿宋_GBK"/>
          <w:b w:val="0"/>
          <w:bCs/>
          <w:sz w:val="28"/>
          <w:szCs w:val="28"/>
          <w:shd w:val="clear" w:color="auto" w:fill="auto"/>
        </w:rPr>
        <w:fldChar w:fldCharType="separate"/>
      </w:r>
      <w:r>
        <w:rPr>
          <w:rFonts w:hint="eastAsia" w:eastAsia="方正仿宋_GBK" w:cs="方正黑体_GBK"/>
          <w:b w:val="0"/>
          <w:bCs/>
          <w:sz w:val="28"/>
          <w:szCs w:val="28"/>
          <w:shd w:val="clear" w:color="auto" w:fill="auto"/>
        </w:rPr>
        <w:t>一、未成年人上网设备</w:t>
      </w:r>
      <w:r>
        <w:rPr>
          <w:rFonts w:eastAsia="方正仿宋_GBK"/>
          <w:b w:val="0"/>
          <w:bCs/>
          <w:sz w:val="28"/>
          <w:szCs w:val="28"/>
          <w:shd w:val="clear" w:color="auto" w:fill="auto"/>
        </w:rPr>
        <w:tab/>
      </w:r>
      <w:r>
        <w:rPr>
          <w:rFonts w:eastAsia="方正仿宋_GBK"/>
          <w:b w:val="0"/>
          <w:bCs/>
          <w:sz w:val="28"/>
          <w:szCs w:val="28"/>
          <w:shd w:val="clear" w:color="auto" w:fill="auto"/>
        </w:rPr>
        <w:fldChar w:fldCharType="begin"/>
      </w:r>
      <w:r>
        <w:rPr>
          <w:rFonts w:eastAsia="方正仿宋_GBK"/>
          <w:b w:val="0"/>
          <w:bCs/>
          <w:sz w:val="28"/>
          <w:szCs w:val="28"/>
          <w:shd w:val="clear" w:color="auto" w:fill="auto"/>
        </w:rPr>
        <w:instrText xml:space="preserve"> PAGEREF _Toc96891269 </w:instrText>
      </w:r>
      <w:r>
        <w:rPr>
          <w:rFonts w:eastAsia="方正仿宋_GBK"/>
          <w:b w:val="0"/>
          <w:bCs/>
          <w:sz w:val="28"/>
          <w:szCs w:val="28"/>
          <w:shd w:val="clear" w:color="auto" w:fill="auto"/>
        </w:rPr>
        <w:fldChar w:fldCharType="separate"/>
      </w:r>
      <w:r>
        <w:rPr>
          <w:rFonts w:eastAsia="方正仿宋_GBK"/>
          <w:b w:val="0"/>
          <w:bCs/>
          <w:sz w:val="28"/>
          <w:szCs w:val="28"/>
          <w:shd w:val="clear" w:color="auto" w:fill="auto"/>
        </w:rPr>
        <w:t>15</w:t>
      </w:r>
      <w:r>
        <w:rPr>
          <w:rFonts w:eastAsia="方正仿宋_GBK"/>
          <w:b w:val="0"/>
          <w:bCs/>
          <w:sz w:val="28"/>
          <w:szCs w:val="28"/>
          <w:shd w:val="clear" w:color="auto" w:fill="auto"/>
        </w:rPr>
        <w:fldChar w:fldCharType="end"/>
      </w:r>
      <w:r>
        <w:rPr>
          <w:rFonts w:hint="eastAsia" w:eastAsia="方正仿宋_GBK" w:cs="方正仿宋_GBK"/>
          <w:b w:val="0"/>
          <w:bCs/>
          <w:sz w:val="28"/>
          <w:szCs w:val="28"/>
          <w:shd w:val="clear" w:color="auto" w:fill="auto"/>
        </w:rPr>
        <w:fldChar w:fldCharType="end"/>
      </w:r>
    </w:p>
    <w:p>
      <w:pPr>
        <w:pStyle w:val="26"/>
        <w:keepNext w:val="0"/>
        <w:keepLines w:val="0"/>
        <w:pageBreakBefore w:val="0"/>
        <w:widowControl w:val="0"/>
        <w:tabs>
          <w:tab w:val="right" w:leader="dot" w:pos="8306"/>
          <w:tab w:val="clear" w:pos="1260"/>
          <w:tab w:val="clear" w:pos="8296"/>
        </w:tabs>
        <w:kinsoku/>
        <w:wordWrap/>
        <w:overflowPunct/>
        <w:topLinePunct w:val="0"/>
        <w:autoSpaceDE/>
        <w:autoSpaceDN/>
        <w:bidi w:val="0"/>
        <w:adjustRightInd/>
        <w:snapToGrid/>
        <w:spacing w:line="380" w:lineRule="exact"/>
        <w:textAlignment w:val="auto"/>
        <w:outlineLvl w:val="9"/>
        <w:rPr>
          <w:rFonts w:eastAsia="方正仿宋_GBK"/>
          <w:b w:val="0"/>
          <w:bCs/>
          <w:sz w:val="28"/>
          <w:szCs w:val="28"/>
          <w:shd w:val="clear" w:color="auto" w:fill="auto"/>
        </w:rPr>
      </w:pPr>
      <w:r>
        <w:rPr>
          <w:rFonts w:hint="eastAsia" w:eastAsia="方正仿宋_GBK" w:cs="方正仿宋_GBK"/>
          <w:b w:val="0"/>
          <w:bCs/>
          <w:sz w:val="28"/>
          <w:szCs w:val="28"/>
          <w:shd w:val="clear" w:color="auto" w:fill="auto"/>
        </w:rPr>
        <w:fldChar w:fldCharType="begin"/>
      </w:r>
      <w:r>
        <w:rPr>
          <w:rFonts w:hint="eastAsia" w:eastAsia="方正仿宋_GBK" w:cs="方正仿宋_GBK"/>
          <w:b w:val="0"/>
          <w:bCs/>
          <w:sz w:val="28"/>
          <w:szCs w:val="28"/>
          <w:shd w:val="clear" w:color="auto" w:fill="auto"/>
        </w:rPr>
        <w:instrText xml:space="preserve"> HYPERLINK \l _Toc440937743 </w:instrText>
      </w:r>
      <w:r>
        <w:rPr>
          <w:rFonts w:hint="eastAsia" w:eastAsia="方正仿宋_GBK" w:cs="方正仿宋_GBK"/>
          <w:b w:val="0"/>
          <w:bCs/>
          <w:sz w:val="28"/>
          <w:szCs w:val="28"/>
          <w:shd w:val="clear" w:color="auto" w:fill="auto"/>
        </w:rPr>
        <w:fldChar w:fldCharType="separate"/>
      </w:r>
      <w:r>
        <w:rPr>
          <w:rFonts w:hint="eastAsia" w:eastAsia="方正仿宋_GBK" w:cs="方正黑体_GBK"/>
          <w:b w:val="0"/>
          <w:bCs/>
          <w:sz w:val="28"/>
          <w:szCs w:val="28"/>
          <w:shd w:val="clear" w:color="auto" w:fill="auto"/>
        </w:rPr>
        <w:t>二、未成年人上网时长</w:t>
      </w:r>
      <w:r>
        <w:rPr>
          <w:rFonts w:eastAsia="方正仿宋_GBK"/>
          <w:b w:val="0"/>
          <w:bCs/>
          <w:sz w:val="28"/>
          <w:szCs w:val="28"/>
          <w:shd w:val="clear" w:color="auto" w:fill="auto"/>
        </w:rPr>
        <w:tab/>
      </w:r>
      <w:r>
        <w:rPr>
          <w:rFonts w:eastAsia="方正仿宋_GBK"/>
          <w:b w:val="0"/>
          <w:bCs/>
          <w:sz w:val="28"/>
          <w:szCs w:val="28"/>
          <w:shd w:val="clear" w:color="auto" w:fill="auto"/>
        </w:rPr>
        <w:fldChar w:fldCharType="begin"/>
      </w:r>
      <w:r>
        <w:rPr>
          <w:rFonts w:eastAsia="方正仿宋_GBK"/>
          <w:b w:val="0"/>
          <w:bCs/>
          <w:sz w:val="28"/>
          <w:szCs w:val="28"/>
          <w:shd w:val="clear" w:color="auto" w:fill="auto"/>
        </w:rPr>
        <w:instrText xml:space="preserve"> PAGEREF _Toc440937743 </w:instrText>
      </w:r>
      <w:r>
        <w:rPr>
          <w:rFonts w:eastAsia="方正仿宋_GBK"/>
          <w:b w:val="0"/>
          <w:bCs/>
          <w:sz w:val="28"/>
          <w:szCs w:val="28"/>
          <w:shd w:val="clear" w:color="auto" w:fill="auto"/>
        </w:rPr>
        <w:fldChar w:fldCharType="separate"/>
      </w:r>
      <w:r>
        <w:rPr>
          <w:rFonts w:eastAsia="方正仿宋_GBK"/>
          <w:b w:val="0"/>
          <w:bCs/>
          <w:sz w:val="28"/>
          <w:szCs w:val="28"/>
          <w:shd w:val="clear" w:color="auto" w:fill="auto"/>
        </w:rPr>
        <w:t>19</w:t>
      </w:r>
      <w:r>
        <w:rPr>
          <w:rFonts w:eastAsia="方正仿宋_GBK"/>
          <w:b w:val="0"/>
          <w:bCs/>
          <w:sz w:val="28"/>
          <w:szCs w:val="28"/>
          <w:shd w:val="clear" w:color="auto" w:fill="auto"/>
        </w:rPr>
        <w:fldChar w:fldCharType="end"/>
      </w:r>
      <w:r>
        <w:rPr>
          <w:rFonts w:hint="eastAsia" w:eastAsia="方正仿宋_GBK" w:cs="方正仿宋_GBK"/>
          <w:b w:val="0"/>
          <w:bCs/>
          <w:sz w:val="28"/>
          <w:szCs w:val="28"/>
          <w:shd w:val="clear" w:color="auto" w:fill="auto"/>
        </w:rPr>
        <w:fldChar w:fldCharType="end"/>
      </w:r>
    </w:p>
    <w:p>
      <w:pPr>
        <w:pStyle w:val="26"/>
        <w:keepNext w:val="0"/>
        <w:keepLines w:val="0"/>
        <w:pageBreakBefore w:val="0"/>
        <w:widowControl w:val="0"/>
        <w:tabs>
          <w:tab w:val="right" w:leader="dot" w:pos="8306"/>
          <w:tab w:val="clear" w:pos="1260"/>
          <w:tab w:val="clear" w:pos="8296"/>
        </w:tabs>
        <w:kinsoku/>
        <w:wordWrap/>
        <w:overflowPunct/>
        <w:topLinePunct w:val="0"/>
        <w:autoSpaceDE/>
        <w:autoSpaceDN/>
        <w:bidi w:val="0"/>
        <w:adjustRightInd/>
        <w:snapToGrid/>
        <w:spacing w:line="380" w:lineRule="exact"/>
        <w:textAlignment w:val="auto"/>
        <w:outlineLvl w:val="9"/>
        <w:rPr>
          <w:rFonts w:eastAsia="方正仿宋_GBK"/>
          <w:b w:val="0"/>
          <w:bCs/>
          <w:sz w:val="28"/>
          <w:szCs w:val="28"/>
          <w:shd w:val="clear" w:color="auto" w:fill="auto"/>
        </w:rPr>
      </w:pPr>
      <w:r>
        <w:rPr>
          <w:rFonts w:hint="eastAsia" w:eastAsia="方正仿宋_GBK" w:cs="方正仿宋_GBK"/>
          <w:b w:val="0"/>
          <w:bCs/>
          <w:sz w:val="28"/>
          <w:szCs w:val="28"/>
          <w:shd w:val="clear" w:color="auto" w:fill="auto"/>
        </w:rPr>
        <w:fldChar w:fldCharType="begin"/>
      </w:r>
      <w:r>
        <w:rPr>
          <w:rFonts w:hint="eastAsia" w:eastAsia="方正仿宋_GBK" w:cs="方正仿宋_GBK"/>
          <w:b w:val="0"/>
          <w:bCs/>
          <w:sz w:val="28"/>
          <w:szCs w:val="28"/>
          <w:shd w:val="clear" w:color="auto" w:fill="auto"/>
        </w:rPr>
        <w:instrText xml:space="preserve"> HYPERLINK \l _Toc2031182653 </w:instrText>
      </w:r>
      <w:r>
        <w:rPr>
          <w:rFonts w:hint="eastAsia" w:eastAsia="方正仿宋_GBK" w:cs="方正仿宋_GBK"/>
          <w:b w:val="0"/>
          <w:bCs/>
          <w:sz w:val="28"/>
          <w:szCs w:val="28"/>
          <w:shd w:val="clear" w:color="auto" w:fill="auto"/>
        </w:rPr>
        <w:fldChar w:fldCharType="separate"/>
      </w:r>
      <w:r>
        <w:rPr>
          <w:rFonts w:hint="eastAsia" w:eastAsia="方正仿宋_GBK" w:cs="方正黑体_GBK"/>
          <w:b w:val="0"/>
          <w:bCs/>
          <w:sz w:val="28"/>
          <w:szCs w:val="28"/>
          <w:shd w:val="clear" w:color="auto" w:fill="auto"/>
        </w:rPr>
        <w:t>三、未成年人对互联网的主观依赖程度</w:t>
      </w:r>
      <w:r>
        <w:rPr>
          <w:rFonts w:eastAsia="方正仿宋_GBK"/>
          <w:b w:val="0"/>
          <w:bCs/>
          <w:sz w:val="28"/>
          <w:szCs w:val="28"/>
          <w:shd w:val="clear" w:color="auto" w:fill="auto"/>
        </w:rPr>
        <w:tab/>
      </w:r>
      <w:r>
        <w:rPr>
          <w:rFonts w:eastAsia="方正仿宋_GBK"/>
          <w:b w:val="0"/>
          <w:bCs/>
          <w:sz w:val="28"/>
          <w:szCs w:val="28"/>
          <w:shd w:val="clear" w:color="auto" w:fill="auto"/>
        </w:rPr>
        <w:fldChar w:fldCharType="begin"/>
      </w:r>
      <w:r>
        <w:rPr>
          <w:rFonts w:eastAsia="方正仿宋_GBK"/>
          <w:b w:val="0"/>
          <w:bCs/>
          <w:sz w:val="28"/>
          <w:szCs w:val="28"/>
          <w:shd w:val="clear" w:color="auto" w:fill="auto"/>
        </w:rPr>
        <w:instrText xml:space="preserve"> PAGEREF _Toc2031182653 </w:instrText>
      </w:r>
      <w:r>
        <w:rPr>
          <w:rFonts w:eastAsia="方正仿宋_GBK"/>
          <w:b w:val="0"/>
          <w:bCs/>
          <w:sz w:val="28"/>
          <w:szCs w:val="28"/>
          <w:shd w:val="clear" w:color="auto" w:fill="auto"/>
        </w:rPr>
        <w:fldChar w:fldCharType="separate"/>
      </w:r>
      <w:r>
        <w:rPr>
          <w:rFonts w:eastAsia="方正仿宋_GBK"/>
          <w:b w:val="0"/>
          <w:bCs/>
          <w:sz w:val="28"/>
          <w:szCs w:val="28"/>
          <w:shd w:val="clear" w:color="auto" w:fill="auto"/>
        </w:rPr>
        <w:t>22</w:t>
      </w:r>
      <w:r>
        <w:rPr>
          <w:rFonts w:eastAsia="方正仿宋_GBK"/>
          <w:b w:val="0"/>
          <w:bCs/>
          <w:sz w:val="28"/>
          <w:szCs w:val="28"/>
          <w:shd w:val="clear" w:color="auto" w:fill="auto"/>
        </w:rPr>
        <w:fldChar w:fldCharType="end"/>
      </w:r>
      <w:r>
        <w:rPr>
          <w:rFonts w:hint="eastAsia" w:eastAsia="方正仿宋_GBK" w:cs="方正仿宋_GBK"/>
          <w:b w:val="0"/>
          <w:bCs/>
          <w:sz w:val="28"/>
          <w:szCs w:val="28"/>
          <w:shd w:val="clear" w:color="auto" w:fill="auto"/>
        </w:rPr>
        <w:fldChar w:fldCharType="end"/>
      </w:r>
    </w:p>
    <w:p>
      <w:pPr>
        <w:pStyle w:val="21"/>
        <w:keepNext w:val="0"/>
        <w:keepLines w:val="0"/>
        <w:pageBreakBefore w:val="0"/>
        <w:widowControl w:val="0"/>
        <w:tabs>
          <w:tab w:val="right" w:leader="dot" w:pos="8306"/>
          <w:tab w:val="clear" w:pos="8296"/>
        </w:tabs>
        <w:kinsoku/>
        <w:wordWrap/>
        <w:overflowPunct/>
        <w:topLinePunct w:val="0"/>
        <w:autoSpaceDE/>
        <w:autoSpaceDN/>
        <w:bidi w:val="0"/>
        <w:adjustRightInd/>
        <w:snapToGrid/>
        <w:spacing w:before="0" w:after="0" w:line="380" w:lineRule="exact"/>
        <w:textAlignment w:val="auto"/>
        <w:outlineLvl w:val="9"/>
        <w:rPr>
          <w:rFonts w:hint="eastAsia" w:eastAsia="方正黑体_GBK" w:cs="方正仿宋_GBK"/>
          <w:b w:val="0"/>
          <w:bCs/>
          <w:sz w:val="28"/>
          <w:szCs w:val="28"/>
          <w:shd w:val="clear" w:color="auto" w:fill="auto"/>
        </w:rPr>
      </w:pPr>
      <w:r>
        <w:rPr>
          <w:rFonts w:hint="eastAsia" w:eastAsia="方正黑体_GBK" w:cs="方正仿宋_GBK"/>
          <w:b w:val="0"/>
          <w:bCs/>
          <w:sz w:val="28"/>
          <w:szCs w:val="28"/>
          <w:shd w:val="clear" w:color="auto" w:fill="auto"/>
        </w:rPr>
        <w:fldChar w:fldCharType="begin"/>
      </w:r>
      <w:r>
        <w:rPr>
          <w:rFonts w:hint="eastAsia" w:eastAsia="方正黑体_GBK" w:cs="方正仿宋_GBK"/>
          <w:b w:val="0"/>
          <w:bCs/>
          <w:sz w:val="28"/>
          <w:szCs w:val="28"/>
          <w:shd w:val="clear" w:color="auto" w:fill="auto"/>
        </w:rPr>
        <w:instrText xml:space="preserve"> HYPERLINK \l _Toc1916701741 </w:instrText>
      </w:r>
      <w:r>
        <w:rPr>
          <w:rFonts w:hint="eastAsia" w:eastAsia="方正黑体_GBK" w:cs="方正仿宋_GBK"/>
          <w:b w:val="0"/>
          <w:bCs/>
          <w:sz w:val="28"/>
          <w:szCs w:val="28"/>
          <w:shd w:val="clear" w:color="auto" w:fill="auto"/>
        </w:rPr>
        <w:fldChar w:fldCharType="separate"/>
      </w:r>
      <w:r>
        <w:rPr>
          <w:rFonts w:hint="eastAsia" w:eastAsia="方正黑体_GBK" w:cs="方正仿宋_GBK"/>
          <w:b w:val="0"/>
          <w:bCs/>
          <w:sz w:val="28"/>
          <w:szCs w:val="28"/>
          <w:shd w:val="clear" w:color="auto" w:fill="auto"/>
        </w:rPr>
        <w:t>第三章  未成年人互联网使用情况</w:t>
      </w:r>
      <w:r>
        <w:rPr>
          <w:rFonts w:hint="eastAsia" w:eastAsia="方正黑体_GBK" w:cs="方正仿宋_GBK"/>
          <w:b w:val="0"/>
          <w:bCs/>
          <w:sz w:val="28"/>
          <w:szCs w:val="28"/>
          <w:shd w:val="clear" w:color="auto" w:fill="auto"/>
        </w:rPr>
        <w:tab/>
      </w:r>
      <w:r>
        <w:rPr>
          <w:rFonts w:hint="eastAsia" w:eastAsia="方正黑体_GBK" w:cs="方正仿宋_GBK"/>
          <w:b w:val="0"/>
          <w:bCs/>
          <w:sz w:val="28"/>
          <w:szCs w:val="28"/>
          <w:shd w:val="clear" w:color="auto" w:fill="auto"/>
        </w:rPr>
        <w:fldChar w:fldCharType="begin"/>
      </w:r>
      <w:r>
        <w:rPr>
          <w:rFonts w:hint="eastAsia" w:eastAsia="方正黑体_GBK" w:cs="方正仿宋_GBK"/>
          <w:b w:val="0"/>
          <w:bCs/>
          <w:sz w:val="28"/>
          <w:szCs w:val="28"/>
          <w:shd w:val="clear" w:color="auto" w:fill="auto"/>
        </w:rPr>
        <w:instrText xml:space="preserve"> PAGEREF _Toc1916701741 </w:instrText>
      </w:r>
      <w:r>
        <w:rPr>
          <w:rFonts w:hint="eastAsia" w:eastAsia="方正黑体_GBK" w:cs="方正仿宋_GBK"/>
          <w:b w:val="0"/>
          <w:bCs/>
          <w:sz w:val="28"/>
          <w:szCs w:val="28"/>
          <w:shd w:val="clear" w:color="auto" w:fill="auto"/>
        </w:rPr>
        <w:fldChar w:fldCharType="separate"/>
      </w:r>
      <w:r>
        <w:rPr>
          <w:rFonts w:hint="eastAsia" w:eastAsia="方正黑体_GBK" w:cs="方正仿宋_GBK"/>
          <w:b w:val="0"/>
          <w:bCs/>
          <w:sz w:val="28"/>
          <w:szCs w:val="28"/>
          <w:shd w:val="clear" w:color="auto" w:fill="auto"/>
        </w:rPr>
        <w:t>25</w:t>
      </w:r>
      <w:r>
        <w:rPr>
          <w:rFonts w:hint="eastAsia" w:eastAsia="方正黑体_GBK" w:cs="方正仿宋_GBK"/>
          <w:b w:val="0"/>
          <w:bCs/>
          <w:sz w:val="28"/>
          <w:szCs w:val="28"/>
          <w:shd w:val="clear" w:color="auto" w:fill="auto"/>
        </w:rPr>
        <w:fldChar w:fldCharType="end"/>
      </w:r>
      <w:r>
        <w:rPr>
          <w:rFonts w:hint="eastAsia" w:eastAsia="方正黑体_GBK" w:cs="方正仿宋_GBK"/>
          <w:b w:val="0"/>
          <w:bCs/>
          <w:sz w:val="28"/>
          <w:szCs w:val="28"/>
          <w:shd w:val="clear" w:color="auto" w:fill="auto"/>
        </w:rPr>
        <w:fldChar w:fldCharType="end"/>
      </w:r>
    </w:p>
    <w:p>
      <w:pPr>
        <w:pStyle w:val="26"/>
        <w:keepNext w:val="0"/>
        <w:keepLines w:val="0"/>
        <w:pageBreakBefore w:val="0"/>
        <w:widowControl w:val="0"/>
        <w:tabs>
          <w:tab w:val="right" w:leader="dot" w:pos="8306"/>
          <w:tab w:val="clear" w:pos="1260"/>
          <w:tab w:val="clear" w:pos="8296"/>
        </w:tabs>
        <w:kinsoku/>
        <w:wordWrap/>
        <w:overflowPunct/>
        <w:topLinePunct w:val="0"/>
        <w:autoSpaceDE/>
        <w:autoSpaceDN/>
        <w:bidi w:val="0"/>
        <w:adjustRightInd/>
        <w:snapToGrid/>
        <w:spacing w:line="380" w:lineRule="exact"/>
        <w:textAlignment w:val="auto"/>
        <w:outlineLvl w:val="9"/>
        <w:rPr>
          <w:rFonts w:eastAsia="方正仿宋_GBK"/>
          <w:b w:val="0"/>
          <w:bCs/>
          <w:sz w:val="28"/>
          <w:szCs w:val="28"/>
          <w:shd w:val="clear" w:color="auto" w:fill="auto"/>
        </w:rPr>
      </w:pPr>
      <w:r>
        <w:rPr>
          <w:rFonts w:hint="eastAsia" w:eastAsia="方正仿宋_GBK" w:cs="方正仿宋_GBK"/>
          <w:b w:val="0"/>
          <w:bCs/>
          <w:sz w:val="28"/>
          <w:szCs w:val="28"/>
          <w:shd w:val="clear" w:color="auto" w:fill="auto"/>
        </w:rPr>
        <w:fldChar w:fldCharType="begin"/>
      </w:r>
      <w:r>
        <w:rPr>
          <w:rFonts w:hint="eastAsia" w:eastAsia="方正仿宋_GBK" w:cs="方正仿宋_GBK"/>
          <w:b w:val="0"/>
          <w:bCs/>
          <w:sz w:val="28"/>
          <w:szCs w:val="28"/>
          <w:shd w:val="clear" w:color="auto" w:fill="auto"/>
        </w:rPr>
        <w:instrText xml:space="preserve"> HYPERLINK \l _Toc893557380 </w:instrText>
      </w:r>
      <w:r>
        <w:rPr>
          <w:rFonts w:hint="eastAsia" w:eastAsia="方正仿宋_GBK" w:cs="方正仿宋_GBK"/>
          <w:b w:val="0"/>
          <w:bCs/>
          <w:sz w:val="28"/>
          <w:szCs w:val="28"/>
          <w:shd w:val="clear" w:color="auto" w:fill="auto"/>
        </w:rPr>
        <w:fldChar w:fldCharType="separate"/>
      </w:r>
      <w:r>
        <w:rPr>
          <w:rFonts w:hint="eastAsia" w:eastAsia="方正仿宋_GBK" w:cs="方正黑体_GBK"/>
          <w:b w:val="0"/>
          <w:bCs/>
          <w:sz w:val="28"/>
          <w:szCs w:val="28"/>
          <w:shd w:val="clear" w:color="auto" w:fill="auto"/>
        </w:rPr>
        <w:t>一、未成年人使用互联网应用的整体情况</w:t>
      </w:r>
      <w:r>
        <w:rPr>
          <w:rFonts w:eastAsia="方正仿宋_GBK"/>
          <w:b w:val="0"/>
          <w:bCs/>
          <w:sz w:val="28"/>
          <w:szCs w:val="28"/>
          <w:shd w:val="clear" w:color="auto" w:fill="auto"/>
        </w:rPr>
        <w:tab/>
      </w:r>
      <w:r>
        <w:rPr>
          <w:rFonts w:eastAsia="方正仿宋_GBK"/>
          <w:b w:val="0"/>
          <w:bCs/>
          <w:sz w:val="28"/>
          <w:szCs w:val="28"/>
          <w:shd w:val="clear" w:color="auto" w:fill="auto"/>
        </w:rPr>
        <w:fldChar w:fldCharType="begin"/>
      </w:r>
      <w:r>
        <w:rPr>
          <w:rFonts w:eastAsia="方正仿宋_GBK"/>
          <w:b w:val="0"/>
          <w:bCs/>
          <w:sz w:val="28"/>
          <w:szCs w:val="28"/>
          <w:shd w:val="clear" w:color="auto" w:fill="auto"/>
        </w:rPr>
        <w:instrText xml:space="preserve"> PAGEREF _Toc893557380 </w:instrText>
      </w:r>
      <w:r>
        <w:rPr>
          <w:rFonts w:eastAsia="方正仿宋_GBK"/>
          <w:b w:val="0"/>
          <w:bCs/>
          <w:sz w:val="28"/>
          <w:szCs w:val="28"/>
          <w:shd w:val="clear" w:color="auto" w:fill="auto"/>
        </w:rPr>
        <w:fldChar w:fldCharType="separate"/>
      </w:r>
      <w:r>
        <w:rPr>
          <w:rFonts w:eastAsia="方正仿宋_GBK"/>
          <w:b w:val="0"/>
          <w:bCs/>
          <w:sz w:val="28"/>
          <w:szCs w:val="28"/>
          <w:shd w:val="clear" w:color="auto" w:fill="auto"/>
        </w:rPr>
        <w:t>25</w:t>
      </w:r>
      <w:r>
        <w:rPr>
          <w:rFonts w:eastAsia="方正仿宋_GBK"/>
          <w:b w:val="0"/>
          <w:bCs/>
          <w:sz w:val="28"/>
          <w:szCs w:val="28"/>
          <w:shd w:val="clear" w:color="auto" w:fill="auto"/>
        </w:rPr>
        <w:fldChar w:fldCharType="end"/>
      </w:r>
      <w:r>
        <w:rPr>
          <w:rFonts w:hint="eastAsia" w:eastAsia="方正仿宋_GBK" w:cs="方正仿宋_GBK"/>
          <w:b w:val="0"/>
          <w:bCs/>
          <w:sz w:val="28"/>
          <w:szCs w:val="28"/>
          <w:shd w:val="clear" w:color="auto" w:fill="auto"/>
        </w:rPr>
        <w:fldChar w:fldCharType="end"/>
      </w:r>
    </w:p>
    <w:p>
      <w:pPr>
        <w:pStyle w:val="26"/>
        <w:keepNext w:val="0"/>
        <w:keepLines w:val="0"/>
        <w:pageBreakBefore w:val="0"/>
        <w:widowControl w:val="0"/>
        <w:tabs>
          <w:tab w:val="right" w:leader="dot" w:pos="8306"/>
          <w:tab w:val="clear" w:pos="1260"/>
          <w:tab w:val="clear" w:pos="8296"/>
        </w:tabs>
        <w:kinsoku/>
        <w:wordWrap/>
        <w:overflowPunct/>
        <w:topLinePunct w:val="0"/>
        <w:autoSpaceDE/>
        <w:autoSpaceDN/>
        <w:bidi w:val="0"/>
        <w:adjustRightInd/>
        <w:snapToGrid/>
        <w:spacing w:line="380" w:lineRule="exact"/>
        <w:textAlignment w:val="auto"/>
        <w:outlineLvl w:val="9"/>
        <w:rPr>
          <w:rFonts w:eastAsia="方正仿宋_GBK"/>
          <w:b w:val="0"/>
          <w:bCs/>
          <w:sz w:val="28"/>
          <w:szCs w:val="28"/>
          <w:shd w:val="clear" w:color="auto" w:fill="auto"/>
        </w:rPr>
      </w:pPr>
      <w:r>
        <w:rPr>
          <w:rFonts w:hint="eastAsia" w:eastAsia="方正仿宋_GBK" w:cs="方正仿宋_GBK"/>
          <w:b w:val="0"/>
          <w:bCs/>
          <w:sz w:val="28"/>
          <w:szCs w:val="28"/>
          <w:shd w:val="clear" w:color="auto" w:fill="auto"/>
        </w:rPr>
        <w:fldChar w:fldCharType="begin"/>
      </w:r>
      <w:r>
        <w:rPr>
          <w:rFonts w:hint="eastAsia" w:eastAsia="方正仿宋_GBK" w:cs="方正仿宋_GBK"/>
          <w:b w:val="0"/>
          <w:bCs/>
          <w:sz w:val="28"/>
          <w:szCs w:val="28"/>
          <w:shd w:val="clear" w:color="auto" w:fill="auto"/>
        </w:rPr>
        <w:instrText xml:space="preserve"> HYPERLINK \l _Toc1583295546 </w:instrText>
      </w:r>
      <w:r>
        <w:rPr>
          <w:rFonts w:hint="eastAsia" w:eastAsia="方正仿宋_GBK" w:cs="方正仿宋_GBK"/>
          <w:b w:val="0"/>
          <w:bCs/>
          <w:sz w:val="28"/>
          <w:szCs w:val="28"/>
          <w:shd w:val="clear" w:color="auto" w:fill="auto"/>
        </w:rPr>
        <w:fldChar w:fldCharType="separate"/>
      </w:r>
      <w:r>
        <w:rPr>
          <w:rFonts w:hint="eastAsia" w:eastAsia="方正仿宋_GBK" w:cs="方正黑体_GBK"/>
          <w:b w:val="0"/>
          <w:bCs/>
          <w:sz w:val="28"/>
          <w:szCs w:val="28"/>
          <w:shd w:val="clear" w:color="auto" w:fill="auto"/>
        </w:rPr>
        <w:t>二、未成年人利用互联网进行学习的情况</w:t>
      </w:r>
      <w:r>
        <w:rPr>
          <w:rFonts w:eastAsia="方正仿宋_GBK"/>
          <w:b w:val="0"/>
          <w:bCs/>
          <w:sz w:val="28"/>
          <w:szCs w:val="28"/>
          <w:shd w:val="clear" w:color="auto" w:fill="auto"/>
        </w:rPr>
        <w:tab/>
      </w:r>
      <w:r>
        <w:rPr>
          <w:rFonts w:eastAsia="方正仿宋_GBK"/>
          <w:b w:val="0"/>
          <w:bCs/>
          <w:sz w:val="28"/>
          <w:szCs w:val="28"/>
          <w:shd w:val="clear" w:color="auto" w:fill="auto"/>
        </w:rPr>
        <w:fldChar w:fldCharType="begin"/>
      </w:r>
      <w:r>
        <w:rPr>
          <w:rFonts w:eastAsia="方正仿宋_GBK"/>
          <w:b w:val="0"/>
          <w:bCs/>
          <w:sz w:val="28"/>
          <w:szCs w:val="28"/>
          <w:shd w:val="clear" w:color="auto" w:fill="auto"/>
        </w:rPr>
        <w:instrText xml:space="preserve"> PAGEREF _Toc1583295546 </w:instrText>
      </w:r>
      <w:r>
        <w:rPr>
          <w:rFonts w:eastAsia="方正仿宋_GBK"/>
          <w:b w:val="0"/>
          <w:bCs/>
          <w:sz w:val="28"/>
          <w:szCs w:val="28"/>
          <w:shd w:val="clear" w:color="auto" w:fill="auto"/>
        </w:rPr>
        <w:fldChar w:fldCharType="separate"/>
      </w:r>
      <w:r>
        <w:rPr>
          <w:rFonts w:eastAsia="方正仿宋_GBK"/>
          <w:b w:val="0"/>
          <w:bCs/>
          <w:sz w:val="28"/>
          <w:szCs w:val="28"/>
          <w:shd w:val="clear" w:color="auto" w:fill="auto"/>
        </w:rPr>
        <w:t>30</w:t>
      </w:r>
      <w:r>
        <w:rPr>
          <w:rFonts w:eastAsia="方正仿宋_GBK"/>
          <w:b w:val="0"/>
          <w:bCs/>
          <w:sz w:val="28"/>
          <w:szCs w:val="28"/>
          <w:shd w:val="clear" w:color="auto" w:fill="auto"/>
        </w:rPr>
        <w:fldChar w:fldCharType="end"/>
      </w:r>
      <w:r>
        <w:rPr>
          <w:rFonts w:hint="eastAsia" w:eastAsia="方正仿宋_GBK" w:cs="方正仿宋_GBK"/>
          <w:b w:val="0"/>
          <w:bCs/>
          <w:sz w:val="28"/>
          <w:szCs w:val="28"/>
          <w:shd w:val="clear" w:color="auto" w:fill="auto"/>
        </w:rPr>
        <w:fldChar w:fldCharType="end"/>
      </w:r>
    </w:p>
    <w:p>
      <w:pPr>
        <w:pStyle w:val="26"/>
        <w:keepNext w:val="0"/>
        <w:keepLines w:val="0"/>
        <w:pageBreakBefore w:val="0"/>
        <w:widowControl w:val="0"/>
        <w:tabs>
          <w:tab w:val="right" w:leader="dot" w:pos="8306"/>
          <w:tab w:val="clear" w:pos="1260"/>
          <w:tab w:val="clear" w:pos="8296"/>
        </w:tabs>
        <w:kinsoku/>
        <w:wordWrap/>
        <w:overflowPunct/>
        <w:topLinePunct w:val="0"/>
        <w:autoSpaceDE/>
        <w:autoSpaceDN/>
        <w:bidi w:val="0"/>
        <w:adjustRightInd/>
        <w:snapToGrid/>
        <w:spacing w:line="380" w:lineRule="exact"/>
        <w:textAlignment w:val="auto"/>
        <w:outlineLvl w:val="9"/>
        <w:rPr>
          <w:rFonts w:eastAsia="方正仿宋_GBK"/>
          <w:b w:val="0"/>
          <w:bCs/>
          <w:sz w:val="28"/>
          <w:szCs w:val="28"/>
          <w:shd w:val="clear" w:color="auto" w:fill="auto"/>
        </w:rPr>
      </w:pPr>
      <w:r>
        <w:rPr>
          <w:rFonts w:hint="eastAsia" w:eastAsia="方正仿宋_GBK" w:cs="方正仿宋_GBK"/>
          <w:b w:val="0"/>
          <w:bCs/>
          <w:sz w:val="28"/>
          <w:szCs w:val="28"/>
          <w:shd w:val="clear" w:color="auto" w:fill="auto"/>
        </w:rPr>
        <w:fldChar w:fldCharType="begin"/>
      </w:r>
      <w:r>
        <w:rPr>
          <w:rFonts w:hint="eastAsia" w:eastAsia="方正仿宋_GBK" w:cs="方正仿宋_GBK"/>
          <w:b w:val="0"/>
          <w:bCs/>
          <w:sz w:val="28"/>
          <w:szCs w:val="28"/>
          <w:shd w:val="clear" w:color="auto" w:fill="auto"/>
        </w:rPr>
        <w:instrText xml:space="preserve"> HYPERLINK \l _Toc1951490238 </w:instrText>
      </w:r>
      <w:r>
        <w:rPr>
          <w:rFonts w:hint="eastAsia" w:eastAsia="方正仿宋_GBK" w:cs="方正仿宋_GBK"/>
          <w:b w:val="0"/>
          <w:bCs/>
          <w:sz w:val="28"/>
          <w:szCs w:val="28"/>
          <w:shd w:val="clear" w:color="auto" w:fill="auto"/>
        </w:rPr>
        <w:fldChar w:fldCharType="separate"/>
      </w:r>
      <w:r>
        <w:rPr>
          <w:rFonts w:hint="eastAsia" w:eastAsia="方正仿宋_GBK" w:cs="方正黑体_GBK"/>
          <w:b w:val="0"/>
          <w:bCs/>
          <w:sz w:val="28"/>
          <w:szCs w:val="28"/>
          <w:shd w:val="clear" w:color="auto" w:fill="auto"/>
        </w:rPr>
        <w:t>三、未成年人利用互联网进行娱乐的情况</w:t>
      </w:r>
      <w:r>
        <w:rPr>
          <w:rFonts w:eastAsia="方正仿宋_GBK"/>
          <w:b w:val="0"/>
          <w:bCs/>
          <w:sz w:val="28"/>
          <w:szCs w:val="28"/>
          <w:shd w:val="clear" w:color="auto" w:fill="auto"/>
        </w:rPr>
        <w:tab/>
      </w:r>
      <w:r>
        <w:rPr>
          <w:rFonts w:eastAsia="方正仿宋_GBK"/>
          <w:b w:val="0"/>
          <w:bCs/>
          <w:sz w:val="28"/>
          <w:szCs w:val="28"/>
          <w:shd w:val="clear" w:color="auto" w:fill="auto"/>
        </w:rPr>
        <w:fldChar w:fldCharType="begin"/>
      </w:r>
      <w:r>
        <w:rPr>
          <w:rFonts w:eastAsia="方正仿宋_GBK"/>
          <w:b w:val="0"/>
          <w:bCs/>
          <w:sz w:val="28"/>
          <w:szCs w:val="28"/>
          <w:shd w:val="clear" w:color="auto" w:fill="auto"/>
        </w:rPr>
        <w:instrText xml:space="preserve"> PAGEREF _Toc1951490238 </w:instrText>
      </w:r>
      <w:r>
        <w:rPr>
          <w:rFonts w:eastAsia="方正仿宋_GBK"/>
          <w:b w:val="0"/>
          <w:bCs/>
          <w:sz w:val="28"/>
          <w:szCs w:val="28"/>
          <w:shd w:val="clear" w:color="auto" w:fill="auto"/>
        </w:rPr>
        <w:fldChar w:fldCharType="separate"/>
      </w:r>
      <w:r>
        <w:rPr>
          <w:rFonts w:eastAsia="方正仿宋_GBK"/>
          <w:b w:val="0"/>
          <w:bCs/>
          <w:sz w:val="28"/>
          <w:szCs w:val="28"/>
          <w:shd w:val="clear" w:color="auto" w:fill="auto"/>
        </w:rPr>
        <w:t>32</w:t>
      </w:r>
      <w:r>
        <w:rPr>
          <w:rFonts w:eastAsia="方正仿宋_GBK"/>
          <w:b w:val="0"/>
          <w:bCs/>
          <w:sz w:val="28"/>
          <w:szCs w:val="28"/>
          <w:shd w:val="clear" w:color="auto" w:fill="auto"/>
        </w:rPr>
        <w:fldChar w:fldCharType="end"/>
      </w:r>
      <w:r>
        <w:rPr>
          <w:rFonts w:hint="eastAsia" w:eastAsia="方正仿宋_GBK" w:cs="方正仿宋_GBK"/>
          <w:b w:val="0"/>
          <w:bCs/>
          <w:sz w:val="28"/>
          <w:szCs w:val="28"/>
          <w:shd w:val="clear" w:color="auto" w:fill="auto"/>
        </w:rPr>
        <w:fldChar w:fldCharType="end"/>
      </w:r>
    </w:p>
    <w:p>
      <w:pPr>
        <w:pStyle w:val="26"/>
        <w:keepNext w:val="0"/>
        <w:keepLines w:val="0"/>
        <w:pageBreakBefore w:val="0"/>
        <w:widowControl w:val="0"/>
        <w:tabs>
          <w:tab w:val="right" w:leader="dot" w:pos="8306"/>
          <w:tab w:val="clear" w:pos="1260"/>
          <w:tab w:val="clear" w:pos="8296"/>
        </w:tabs>
        <w:kinsoku/>
        <w:wordWrap/>
        <w:overflowPunct/>
        <w:topLinePunct w:val="0"/>
        <w:autoSpaceDE/>
        <w:autoSpaceDN/>
        <w:bidi w:val="0"/>
        <w:adjustRightInd/>
        <w:snapToGrid/>
        <w:spacing w:line="380" w:lineRule="exact"/>
        <w:textAlignment w:val="auto"/>
        <w:outlineLvl w:val="9"/>
        <w:rPr>
          <w:rFonts w:eastAsia="方正仿宋_GBK"/>
          <w:b w:val="0"/>
          <w:bCs/>
          <w:sz w:val="28"/>
          <w:szCs w:val="28"/>
          <w:shd w:val="clear" w:color="auto" w:fill="auto"/>
        </w:rPr>
      </w:pPr>
      <w:r>
        <w:rPr>
          <w:rFonts w:hint="eastAsia" w:eastAsia="方正仿宋_GBK" w:cs="方正仿宋_GBK"/>
          <w:b w:val="0"/>
          <w:bCs/>
          <w:sz w:val="28"/>
          <w:szCs w:val="28"/>
          <w:shd w:val="clear" w:color="auto" w:fill="auto"/>
        </w:rPr>
        <w:fldChar w:fldCharType="begin"/>
      </w:r>
      <w:r>
        <w:rPr>
          <w:rFonts w:hint="eastAsia" w:eastAsia="方正仿宋_GBK" w:cs="方正仿宋_GBK"/>
          <w:b w:val="0"/>
          <w:bCs/>
          <w:sz w:val="28"/>
          <w:szCs w:val="28"/>
          <w:shd w:val="clear" w:color="auto" w:fill="auto"/>
        </w:rPr>
        <w:instrText xml:space="preserve"> HYPERLINK \l _Toc378609264 </w:instrText>
      </w:r>
      <w:r>
        <w:rPr>
          <w:rFonts w:hint="eastAsia" w:eastAsia="方正仿宋_GBK" w:cs="方正仿宋_GBK"/>
          <w:b w:val="0"/>
          <w:bCs/>
          <w:sz w:val="28"/>
          <w:szCs w:val="28"/>
          <w:shd w:val="clear" w:color="auto" w:fill="auto"/>
        </w:rPr>
        <w:fldChar w:fldCharType="separate"/>
      </w:r>
      <w:r>
        <w:rPr>
          <w:rFonts w:hint="eastAsia" w:eastAsia="方正仿宋_GBK" w:cs="方正黑体_GBK"/>
          <w:b w:val="0"/>
          <w:bCs/>
          <w:sz w:val="28"/>
          <w:szCs w:val="28"/>
          <w:shd w:val="clear" w:color="auto" w:fill="auto"/>
        </w:rPr>
        <w:t>四、未成年人利用互联网进行社交的情况</w:t>
      </w:r>
      <w:r>
        <w:rPr>
          <w:rFonts w:eastAsia="方正仿宋_GBK"/>
          <w:b w:val="0"/>
          <w:bCs/>
          <w:sz w:val="28"/>
          <w:szCs w:val="28"/>
          <w:shd w:val="clear" w:color="auto" w:fill="auto"/>
        </w:rPr>
        <w:tab/>
      </w:r>
      <w:r>
        <w:rPr>
          <w:rFonts w:eastAsia="方正仿宋_GBK"/>
          <w:b w:val="0"/>
          <w:bCs/>
          <w:sz w:val="28"/>
          <w:szCs w:val="28"/>
          <w:shd w:val="clear" w:color="auto" w:fill="auto"/>
        </w:rPr>
        <w:fldChar w:fldCharType="begin"/>
      </w:r>
      <w:r>
        <w:rPr>
          <w:rFonts w:eastAsia="方正仿宋_GBK"/>
          <w:b w:val="0"/>
          <w:bCs/>
          <w:sz w:val="28"/>
          <w:szCs w:val="28"/>
          <w:shd w:val="clear" w:color="auto" w:fill="auto"/>
        </w:rPr>
        <w:instrText xml:space="preserve"> PAGEREF _Toc378609264 </w:instrText>
      </w:r>
      <w:r>
        <w:rPr>
          <w:rFonts w:eastAsia="方正仿宋_GBK"/>
          <w:b w:val="0"/>
          <w:bCs/>
          <w:sz w:val="28"/>
          <w:szCs w:val="28"/>
          <w:shd w:val="clear" w:color="auto" w:fill="auto"/>
        </w:rPr>
        <w:fldChar w:fldCharType="separate"/>
      </w:r>
      <w:r>
        <w:rPr>
          <w:rFonts w:eastAsia="方正仿宋_GBK"/>
          <w:b w:val="0"/>
          <w:bCs/>
          <w:sz w:val="28"/>
          <w:szCs w:val="28"/>
          <w:shd w:val="clear" w:color="auto" w:fill="auto"/>
        </w:rPr>
        <w:t>37</w:t>
      </w:r>
      <w:r>
        <w:rPr>
          <w:rFonts w:eastAsia="方正仿宋_GBK"/>
          <w:b w:val="0"/>
          <w:bCs/>
          <w:sz w:val="28"/>
          <w:szCs w:val="28"/>
          <w:shd w:val="clear" w:color="auto" w:fill="auto"/>
        </w:rPr>
        <w:fldChar w:fldCharType="end"/>
      </w:r>
      <w:r>
        <w:rPr>
          <w:rFonts w:hint="eastAsia" w:eastAsia="方正仿宋_GBK" w:cs="方正仿宋_GBK"/>
          <w:b w:val="0"/>
          <w:bCs/>
          <w:sz w:val="28"/>
          <w:szCs w:val="28"/>
          <w:shd w:val="clear" w:color="auto" w:fill="auto"/>
        </w:rPr>
        <w:fldChar w:fldCharType="end"/>
      </w:r>
    </w:p>
    <w:p>
      <w:pPr>
        <w:pStyle w:val="26"/>
        <w:keepNext w:val="0"/>
        <w:keepLines w:val="0"/>
        <w:pageBreakBefore w:val="0"/>
        <w:widowControl w:val="0"/>
        <w:tabs>
          <w:tab w:val="right" w:leader="dot" w:pos="8306"/>
          <w:tab w:val="clear" w:pos="1260"/>
          <w:tab w:val="clear" w:pos="8296"/>
        </w:tabs>
        <w:kinsoku/>
        <w:wordWrap/>
        <w:overflowPunct/>
        <w:topLinePunct w:val="0"/>
        <w:autoSpaceDE/>
        <w:autoSpaceDN/>
        <w:bidi w:val="0"/>
        <w:adjustRightInd/>
        <w:snapToGrid/>
        <w:spacing w:line="380" w:lineRule="exact"/>
        <w:textAlignment w:val="auto"/>
        <w:outlineLvl w:val="9"/>
        <w:rPr>
          <w:rFonts w:eastAsia="方正仿宋_GBK"/>
          <w:b w:val="0"/>
          <w:bCs/>
          <w:sz w:val="28"/>
          <w:szCs w:val="28"/>
          <w:shd w:val="clear" w:color="auto" w:fill="auto"/>
        </w:rPr>
      </w:pPr>
      <w:r>
        <w:rPr>
          <w:rFonts w:hint="eastAsia" w:eastAsia="方正仿宋_GBK" w:cs="方正仿宋_GBK"/>
          <w:b w:val="0"/>
          <w:bCs/>
          <w:sz w:val="28"/>
          <w:szCs w:val="28"/>
          <w:shd w:val="clear" w:color="auto" w:fill="auto"/>
        </w:rPr>
        <w:fldChar w:fldCharType="begin"/>
      </w:r>
      <w:r>
        <w:rPr>
          <w:rFonts w:hint="eastAsia" w:eastAsia="方正仿宋_GBK" w:cs="方正仿宋_GBK"/>
          <w:b w:val="0"/>
          <w:bCs/>
          <w:sz w:val="28"/>
          <w:szCs w:val="28"/>
          <w:shd w:val="clear" w:color="auto" w:fill="auto"/>
        </w:rPr>
        <w:instrText xml:space="preserve"> HYPERLINK \l _Toc479476391 </w:instrText>
      </w:r>
      <w:r>
        <w:rPr>
          <w:rFonts w:hint="eastAsia" w:eastAsia="方正仿宋_GBK" w:cs="方正仿宋_GBK"/>
          <w:b w:val="0"/>
          <w:bCs/>
          <w:sz w:val="28"/>
          <w:szCs w:val="28"/>
          <w:shd w:val="clear" w:color="auto" w:fill="auto"/>
        </w:rPr>
        <w:fldChar w:fldCharType="separate"/>
      </w:r>
      <w:r>
        <w:rPr>
          <w:rFonts w:hint="eastAsia" w:eastAsia="方正仿宋_GBK" w:cs="方正黑体_GBK"/>
          <w:b w:val="0"/>
          <w:bCs/>
          <w:sz w:val="28"/>
          <w:szCs w:val="28"/>
          <w:shd w:val="clear" w:color="auto" w:fill="auto"/>
        </w:rPr>
        <w:t>五、未成年人利用互联网获取社会信息的渠道</w:t>
      </w:r>
      <w:r>
        <w:rPr>
          <w:rFonts w:eastAsia="方正仿宋_GBK"/>
          <w:b w:val="0"/>
          <w:bCs/>
          <w:sz w:val="28"/>
          <w:szCs w:val="28"/>
          <w:shd w:val="clear" w:color="auto" w:fill="auto"/>
        </w:rPr>
        <w:tab/>
      </w:r>
      <w:r>
        <w:rPr>
          <w:rFonts w:eastAsia="方正仿宋_GBK"/>
          <w:b w:val="0"/>
          <w:bCs/>
          <w:sz w:val="28"/>
          <w:szCs w:val="28"/>
          <w:shd w:val="clear" w:color="auto" w:fill="auto"/>
        </w:rPr>
        <w:fldChar w:fldCharType="begin"/>
      </w:r>
      <w:r>
        <w:rPr>
          <w:rFonts w:eastAsia="方正仿宋_GBK"/>
          <w:b w:val="0"/>
          <w:bCs/>
          <w:sz w:val="28"/>
          <w:szCs w:val="28"/>
          <w:shd w:val="clear" w:color="auto" w:fill="auto"/>
        </w:rPr>
        <w:instrText xml:space="preserve"> PAGEREF _Toc479476391 </w:instrText>
      </w:r>
      <w:r>
        <w:rPr>
          <w:rFonts w:eastAsia="方正仿宋_GBK"/>
          <w:b w:val="0"/>
          <w:bCs/>
          <w:sz w:val="28"/>
          <w:szCs w:val="28"/>
          <w:shd w:val="clear" w:color="auto" w:fill="auto"/>
        </w:rPr>
        <w:fldChar w:fldCharType="separate"/>
      </w:r>
      <w:r>
        <w:rPr>
          <w:rFonts w:eastAsia="方正仿宋_GBK"/>
          <w:b w:val="0"/>
          <w:bCs/>
          <w:sz w:val="28"/>
          <w:szCs w:val="28"/>
          <w:shd w:val="clear" w:color="auto" w:fill="auto"/>
        </w:rPr>
        <w:t>39</w:t>
      </w:r>
      <w:r>
        <w:rPr>
          <w:rFonts w:eastAsia="方正仿宋_GBK"/>
          <w:b w:val="0"/>
          <w:bCs/>
          <w:sz w:val="28"/>
          <w:szCs w:val="28"/>
          <w:shd w:val="clear" w:color="auto" w:fill="auto"/>
        </w:rPr>
        <w:fldChar w:fldCharType="end"/>
      </w:r>
      <w:r>
        <w:rPr>
          <w:rFonts w:hint="eastAsia" w:eastAsia="方正仿宋_GBK" w:cs="方正仿宋_GBK"/>
          <w:b w:val="0"/>
          <w:bCs/>
          <w:sz w:val="28"/>
          <w:szCs w:val="28"/>
          <w:shd w:val="clear" w:color="auto" w:fill="auto"/>
        </w:rPr>
        <w:fldChar w:fldCharType="end"/>
      </w:r>
    </w:p>
    <w:p>
      <w:pPr>
        <w:pStyle w:val="21"/>
        <w:keepNext w:val="0"/>
        <w:keepLines w:val="0"/>
        <w:pageBreakBefore w:val="0"/>
        <w:widowControl w:val="0"/>
        <w:tabs>
          <w:tab w:val="right" w:leader="dot" w:pos="8306"/>
          <w:tab w:val="clear" w:pos="8296"/>
        </w:tabs>
        <w:kinsoku/>
        <w:wordWrap/>
        <w:overflowPunct/>
        <w:topLinePunct w:val="0"/>
        <w:autoSpaceDE/>
        <w:autoSpaceDN/>
        <w:bidi w:val="0"/>
        <w:adjustRightInd/>
        <w:snapToGrid/>
        <w:spacing w:before="0" w:after="0" w:line="380" w:lineRule="exact"/>
        <w:textAlignment w:val="auto"/>
        <w:outlineLvl w:val="9"/>
        <w:rPr>
          <w:rFonts w:hint="eastAsia" w:eastAsia="方正黑体_GBK" w:cs="方正仿宋_GBK"/>
          <w:b w:val="0"/>
          <w:bCs/>
          <w:sz w:val="28"/>
          <w:szCs w:val="28"/>
          <w:shd w:val="clear" w:color="auto" w:fill="auto"/>
        </w:rPr>
      </w:pPr>
      <w:r>
        <w:rPr>
          <w:rFonts w:hint="eastAsia" w:eastAsia="方正黑体_GBK" w:cs="方正仿宋_GBK"/>
          <w:b w:val="0"/>
          <w:bCs/>
          <w:sz w:val="28"/>
          <w:szCs w:val="28"/>
          <w:shd w:val="clear" w:color="auto" w:fill="auto"/>
        </w:rPr>
        <w:fldChar w:fldCharType="begin"/>
      </w:r>
      <w:r>
        <w:rPr>
          <w:rFonts w:hint="eastAsia" w:eastAsia="方正黑体_GBK" w:cs="方正仿宋_GBK"/>
          <w:b w:val="0"/>
          <w:bCs/>
          <w:sz w:val="28"/>
          <w:szCs w:val="28"/>
          <w:shd w:val="clear" w:color="auto" w:fill="auto"/>
        </w:rPr>
        <w:instrText xml:space="preserve"> HYPERLINK \l _Toc1156515619 </w:instrText>
      </w:r>
      <w:r>
        <w:rPr>
          <w:rFonts w:hint="eastAsia" w:eastAsia="方正黑体_GBK" w:cs="方正仿宋_GBK"/>
          <w:b w:val="0"/>
          <w:bCs/>
          <w:sz w:val="28"/>
          <w:szCs w:val="28"/>
          <w:shd w:val="clear" w:color="auto" w:fill="auto"/>
        </w:rPr>
        <w:fldChar w:fldCharType="separate"/>
      </w:r>
      <w:r>
        <w:rPr>
          <w:rFonts w:hint="eastAsia" w:eastAsia="方正黑体_GBK" w:cs="方正仿宋_GBK"/>
          <w:b w:val="0"/>
          <w:bCs/>
          <w:sz w:val="28"/>
          <w:szCs w:val="28"/>
          <w:shd w:val="clear" w:color="auto" w:fill="auto"/>
        </w:rPr>
        <w:t>第四章  未成年人上网的教育与管理</w:t>
      </w:r>
      <w:r>
        <w:rPr>
          <w:rFonts w:hint="eastAsia" w:eastAsia="方正黑体_GBK" w:cs="方正仿宋_GBK"/>
          <w:b w:val="0"/>
          <w:bCs/>
          <w:sz w:val="28"/>
          <w:szCs w:val="28"/>
          <w:shd w:val="clear" w:color="auto" w:fill="auto"/>
        </w:rPr>
        <w:tab/>
      </w:r>
      <w:r>
        <w:rPr>
          <w:rFonts w:hint="eastAsia" w:eastAsia="方正黑体_GBK" w:cs="方正仿宋_GBK"/>
          <w:b w:val="0"/>
          <w:bCs/>
          <w:sz w:val="28"/>
          <w:szCs w:val="28"/>
          <w:shd w:val="clear" w:color="auto" w:fill="auto"/>
        </w:rPr>
        <w:fldChar w:fldCharType="begin"/>
      </w:r>
      <w:r>
        <w:rPr>
          <w:rFonts w:hint="eastAsia" w:eastAsia="方正黑体_GBK" w:cs="方正仿宋_GBK"/>
          <w:b w:val="0"/>
          <w:bCs/>
          <w:sz w:val="28"/>
          <w:szCs w:val="28"/>
          <w:shd w:val="clear" w:color="auto" w:fill="auto"/>
        </w:rPr>
        <w:instrText xml:space="preserve"> PAGEREF _Toc1156515619 </w:instrText>
      </w:r>
      <w:r>
        <w:rPr>
          <w:rFonts w:hint="eastAsia" w:eastAsia="方正黑体_GBK" w:cs="方正仿宋_GBK"/>
          <w:b w:val="0"/>
          <w:bCs/>
          <w:sz w:val="28"/>
          <w:szCs w:val="28"/>
          <w:shd w:val="clear" w:color="auto" w:fill="auto"/>
        </w:rPr>
        <w:fldChar w:fldCharType="separate"/>
      </w:r>
      <w:r>
        <w:rPr>
          <w:rFonts w:hint="eastAsia" w:eastAsia="方正黑体_GBK" w:cs="方正仿宋_GBK"/>
          <w:b w:val="0"/>
          <w:bCs/>
          <w:sz w:val="28"/>
          <w:szCs w:val="28"/>
          <w:shd w:val="clear" w:color="auto" w:fill="auto"/>
        </w:rPr>
        <w:t>42</w:t>
      </w:r>
      <w:r>
        <w:rPr>
          <w:rFonts w:hint="eastAsia" w:eastAsia="方正黑体_GBK" w:cs="方正仿宋_GBK"/>
          <w:b w:val="0"/>
          <w:bCs/>
          <w:sz w:val="28"/>
          <w:szCs w:val="28"/>
          <w:shd w:val="clear" w:color="auto" w:fill="auto"/>
        </w:rPr>
        <w:fldChar w:fldCharType="end"/>
      </w:r>
      <w:r>
        <w:rPr>
          <w:rFonts w:hint="eastAsia" w:eastAsia="方正黑体_GBK" w:cs="方正仿宋_GBK"/>
          <w:b w:val="0"/>
          <w:bCs/>
          <w:sz w:val="28"/>
          <w:szCs w:val="28"/>
          <w:shd w:val="clear" w:color="auto" w:fill="auto"/>
        </w:rPr>
        <w:fldChar w:fldCharType="end"/>
      </w:r>
    </w:p>
    <w:p>
      <w:pPr>
        <w:pStyle w:val="26"/>
        <w:keepNext w:val="0"/>
        <w:keepLines w:val="0"/>
        <w:pageBreakBefore w:val="0"/>
        <w:widowControl w:val="0"/>
        <w:tabs>
          <w:tab w:val="right" w:leader="dot" w:pos="8306"/>
          <w:tab w:val="clear" w:pos="1260"/>
          <w:tab w:val="clear" w:pos="8296"/>
        </w:tabs>
        <w:kinsoku/>
        <w:wordWrap/>
        <w:overflowPunct/>
        <w:topLinePunct w:val="0"/>
        <w:autoSpaceDE/>
        <w:autoSpaceDN/>
        <w:bidi w:val="0"/>
        <w:adjustRightInd/>
        <w:snapToGrid/>
        <w:spacing w:line="380" w:lineRule="exact"/>
        <w:textAlignment w:val="auto"/>
        <w:outlineLvl w:val="9"/>
        <w:rPr>
          <w:rFonts w:eastAsia="方正仿宋_GBK"/>
          <w:b w:val="0"/>
          <w:bCs/>
          <w:sz w:val="28"/>
          <w:szCs w:val="28"/>
          <w:shd w:val="clear" w:color="auto" w:fill="auto"/>
        </w:rPr>
      </w:pPr>
      <w:r>
        <w:rPr>
          <w:rFonts w:hint="eastAsia" w:eastAsia="方正仿宋_GBK" w:cs="方正仿宋_GBK"/>
          <w:b w:val="0"/>
          <w:bCs/>
          <w:sz w:val="28"/>
          <w:szCs w:val="28"/>
          <w:shd w:val="clear" w:color="auto" w:fill="auto"/>
        </w:rPr>
        <w:fldChar w:fldCharType="begin"/>
      </w:r>
      <w:r>
        <w:rPr>
          <w:rFonts w:hint="eastAsia" w:eastAsia="方正仿宋_GBK" w:cs="方正仿宋_GBK"/>
          <w:b w:val="0"/>
          <w:bCs/>
          <w:sz w:val="28"/>
          <w:szCs w:val="28"/>
          <w:shd w:val="clear" w:color="auto" w:fill="auto"/>
        </w:rPr>
        <w:instrText xml:space="preserve"> HYPERLINK \l _Toc491670965 </w:instrText>
      </w:r>
      <w:r>
        <w:rPr>
          <w:rFonts w:hint="eastAsia" w:eastAsia="方正仿宋_GBK" w:cs="方正仿宋_GBK"/>
          <w:b w:val="0"/>
          <w:bCs/>
          <w:sz w:val="28"/>
          <w:szCs w:val="28"/>
          <w:shd w:val="clear" w:color="auto" w:fill="auto"/>
        </w:rPr>
        <w:fldChar w:fldCharType="separate"/>
      </w:r>
      <w:r>
        <w:rPr>
          <w:rFonts w:hint="eastAsia" w:eastAsia="方正仿宋_GBK" w:cs="方正黑体_GBK"/>
          <w:b w:val="0"/>
          <w:bCs/>
          <w:sz w:val="28"/>
          <w:szCs w:val="28"/>
          <w:shd w:val="clear" w:color="auto" w:fill="auto"/>
        </w:rPr>
        <w:t>一、未成年人接受网络安全教育情况</w:t>
      </w:r>
      <w:r>
        <w:rPr>
          <w:rFonts w:eastAsia="方正仿宋_GBK"/>
          <w:b w:val="0"/>
          <w:bCs/>
          <w:sz w:val="28"/>
          <w:szCs w:val="28"/>
          <w:shd w:val="clear" w:color="auto" w:fill="auto"/>
        </w:rPr>
        <w:tab/>
      </w:r>
      <w:r>
        <w:rPr>
          <w:rFonts w:eastAsia="方正仿宋_GBK"/>
          <w:b w:val="0"/>
          <w:bCs/>
          <w:sz w:val="28"/>
          <w:szCs w:val="28"/>
          <w:shd w:val="clear" w:color="auto" w:fill="auto"/>
        </w:rPr>
        <w:fldChar w:fldCharType="begin"/>
      </w:r>
      <w:r>
        <w:rPr>
          <w:rFonts w:eastAsia="方正仿宋_GBK"/>
          <w:b w:val="0"/>
          <w:bCs/>
          <w:sz w:val="28"/>
          <w:szCs w:val="28"/>
          <w:shd w:val="clear" w:color="auto" w:fill="auto"/>
        </w:rPr>
        <w:instrText xml:space="preserve"> PAGEREF _Toc491670965 </w:instrText>
      </w:r>
      <w:r>
        <w:rPr>
          <w:rFonts w:eastAsia="方正仿宋_GBK"/>
          <w:b w:val="0"/>
          <w:bCs/>
          <w:sz w:val="28"/>
          <w:szCs w:val="28"/>
          <w:shd w:val="clear" w:color="auto" w:fill="auto"/>
        </w:rPr>
        <w:fldChar w:fldCharType="separate"/>
      </w:r>
      <w:r>
        <w:rPr>
          <w:rFonts w:eastAsia="方正仿宋_GBK"/>
          <w:b w:val="0"/>
          <w:bCs/>
          <w:sz w:val="28"/>
          <w:szCs w:val="28"/>
          <w:shd w:val="clear" w:color="auto" w:fill="auto"/>
        </w:rPr>
        <w:t>42</w:t>
      </w:r>
      <w:r>
        <w:rPr>
          <w:rFonts w:eastAsia="方正仿宋_GBK"/>
          <w:b w:val="0"/>
          <w:bCs/>
          <w:sz w:val="28"/>
          <w:szCs w:val="28"/>
          <w:shd w:val="clear" w:color="auto" w:fill="auto"/>
        </w:rPr>
        <w:fldChar w:fldCharType="end"/>
      </w:r>
      <w:r>
        <w:rPr>
          <w:rFonts w:hint="eastAsia" w:eastAsia="方正仿宋_GBK" w:cs="方正仿宋_GBK"/>
          <w:b w:val="0"/>
          <w:bCs/>
          <w:sz w:val="28"/>
          <w:szCs w:val="28"/>
          <w:shd w:val="clear" w:color="auto" w:fill="auto"/>
        </w:rPr>
        <w:fldChar w:fldCharType="end"/>
      </w:r>
    </w:p>
    <w:p>
      <w:pPr>
        <w:pStyle w:val="26"/>
        <w:keepNext w:val="0"/>
        <w:keepLines w:val="0"/>
        <w:pageBreakBefore w:val="0"/>
        <w:widowControl w:val="0"/>
        <w:tabs>
          <w:tab w:val="right" w:leader="dot" w:pos="8306"/>
          <w:tab w:val="clear" w:pos="1260"/>
          <w:tab w:val="clear" w:pos="8296"/>
        </w:tabs>
        <w:kinsoku/>
        <w:wordWrap/>
        <w:overflowPunct/>
        <w:topLinePunct w:val="0"/>
        <w:autoSpaceDE/>
        <w:autoSpaceDN/>
        <w:bidi w:val="0"/>
        <w:adjustRightInd/>
        <w:snapToGrid/>
        <w:spacing w:line="380" w:lineRule="exact"/>
        <w:textAlignment w:val="auto"/>
        <w:outlineLvl w:val="9"/>
        <w:rPr>
          <w:rFonts w:eastAsia="方正仿宋_GBK"/>
          <w:b w:val="0"/>
          <w:bCs/>
          <w:sz w:val="28"/>
          <w:szCs w:val="28"/>
          <w:shd w:val="clear" w:color="auto" w:fill="auto"/>
        </w:rPr>
      </w:pPr>
      <w:r>
        <w:rPr>
          <w:rFonts w:hint="eastAsia" w:eastAsia="方正仿宋_GBK" w:cs="方正仿宋_GBK"/>
          <w:b w:val="0"/>
          <w:bCs/>
          <w:sz w:val="28"/>
          <w:szCs w:val="28"/>
          <w:shd w:val="clear" w:color="auto" w:fill="auto"/>
        </w:rPr>
        <w:fldChar w:fldCharType="begin"/>
      </w:r>
      <w:r>
        <w:rPr>
          <w:rFonts w:hint="eastAsia" w:eastAsia="方正仿宋_GBK" w:cs="方正仿宋_GBK"/>
          <w:b w:val="0"/>
          <w:bCs/>
          <w:sz w:val="28"/>
          <w:szCs w:val="28"/>
          <w:shd w:val="clear" w:color="auto" w:fill="auto"/>
        </w:rPr>
        <w:instrText xml:space="preserve"> HYPERLINK \l _Toc1455388762 </w:instrText>
      </w:r>
      <w:r>
        <w:rPr>
          <w:rFonts w:hint="eastAsia" w:eastAsia="方正仿宋_GBK" w:cs="方正仿宋_GBK"/>
          <w:b w:val="0"/>
          <w:bCs/>
          <w:sz w:val="28"/>
          <w:szCs w:val="28"/>
          <w:shd w:val="clear" w:color="auto" w:fill="auto"/>
        </w:rPr>
        <w:fldChar w:fldCharType="separate"/>
      </w:r>
      <w:r>
        <w:rPr>
          <w:rFonts w:hint="eastAsia" w:eastAsia="方正仿宋_GBK" w:cs="方正黑体_GBK"/>
          <w:b w:val="0"/>
          <w:bCs/>
          <w:sz w:val="28"/>
          <w:szCs w:val="28"/>
          <w:shd w:val="clear" w:color="auto" w:fill="auto"/>
        </w:rPr>
        <w:t>二、家长对未成年子女上网的监督管理情况</w:t>
      </w:r>
      <w:r>
        <w:rPr>
          <w:rFonts w:eastAsia="方正仿宋_GBK"/>
          <w:b w:val="0"/>
          <w:bCs/>
          <w:sz w:val="28"/>
          <w:szCs w:val="28"/>
          <w:shd w:val="clear" w:color="auto" w:fill="auto"/>
        </w:rPr>
        <w:tab/>
      </w:r>
      <w:r>
        <w:rPr>
          <w:rFonts w:eastAsia="方正仿宋_GBK"/>
          <w:b w:val="0"/>
          <w:bCs/>
          <w:sz w:val="28"/>
          <w:szCs w:val="28"/>
          <w:shd w:val="clear" w:color="auto" w:fill="auto"/>
        </w:rPr>
        <w:fldChar w:fldCharType="begin"/>
      </w:r>
      <w:r>
        <w:rPr>
          <w:rFonts w:eastAsia="方正仿宋_GBK"/>
          <w:b w:val="0"/>
          <w:bCs/>
          <w:sz w:val="28"/>
          <w:szCs w:val="28"/>
          <w:shd w:val="clear" w:color="auto" w:fill="auto"/>
        </w:rPr>
        <w:instrText xml:space="preserve"> PAGEREF _Toc1455388762 </w:instrText>
      </w:r>
      <w:r>
        <w:rPr>
          <w:rFonts w:eastAsia="方正仿宋_GBK"/>
          <w:b w:val="0"/>
          <w:bCs/>
          <w:sz w:val="28"/>
          <w:szCs w:val="28"/>
          <w:shd w:val="clear" w:color="auto" w:fill="auto"/>
        </w:rPr>
        <w:fldChar w:fldCharType="separate"/>
      </w:r>
      <w:r>
        <w:rPr>
          <w:rFonts w:eastAsia="方正仿宋_GBK"/>
          <w:b w:val="0"/>
          <w:bCs/>
          <w:sz w:val="28"/>
          <w:szCs w:val="28"/>
          <w:shd w:val="clear" w:color="auto" w:fill="auto"/>
        </w:rPr>
        <w:t>44</w:t>
      </w:r>
      <w:r>
        <w:rPr>
          <w:rFonts w:eastAsia="方正仿宋_GBK"/>
          <w:b w:val="0"/>
          <w:bCs/>
          <w:sz w:val="28"/>
          <w:szCs w:val="28"/>
          <w:shd w:val="clear" w:color="auto" w:fill="auto"/>
        </w:rPr>
        <w:fldChar w:fldCharType="end"/>
      </w:r>
      <w:r>
        <w:rPr>
          <w:rFonts w:hint="eastAsia" w:eastAsia="方正仿宋_GBK" w:cs="方正仿宋_GBK"/>
          <w:b w:val="0"/>
          <w:bCs/>
          <w:sz w:val="28"/>
          <w:szCs w:val="28"/>
          <w:shd w:val="clear" w:color="auto" w:fill="auto"/>
        </w:rPr>
        <w:fldChar w:fldCharType="end"/>
      </w:r>
    </w:p>
    <w:p>
      <w:pPr>
        <w:pStyle w:val="26"/>
        <w:keepNext w:val="0"/>
        <w:keepLines w:val="0"/>
        <w:pageBreakBefore w:val="0"/>
        <w:widowControl w:val="0"/>
        <w:tabs>
          <w:tab w:val="right" w:leader="dot" w:pos="8306"/>
          <w:tab w:val="clear" w:pos="1260"/>
          <w:tab w:val="clear" w:pos="8296"/>
        </w:tabs>
        <w:kinsoku/>
        <w:wordWrap/>
        <w:overflowPunct/>
        <w:topLinePunct w:val="0"/>
        <w:autoSpaceDE/>
        <w:autoSpaceDN/>
        <w:bidi w:val="0"/>
        <w:adjustRightInd/>
        <w:snapToGrid/>
        <w:spacing w:line="380" w:lineRule="exact"/>
        <w:textAlignment w:val="auto"/>
        <w:outlineLvl w:val="9"/>
        <w:rPr>
          <w:rFonts w:eastAsia="方正仿宋_GBK"/>
          <w:b w:val="0"/>
          <w:bCs/>
          <w:sz w:val="28"/>
          <w:szCs w:val="28"/>
          <w:shd w:val="clear" w:color="auto" w:fill="auto"/>
        </w:rPr>
      </w:pPr>
      <w:r>
        <w:rPr>
          <w:rFonts w:hint="eastAsia" w:eastAsia="方正仿宋_GBK" w:cs="方正仿宋_GBK"/>
          <w:b w:val="0"/>
          <w:bCs/>
          <w:sz w:val="28"/>
          <w:szCs w:val="28"/>
          <w:shd w:val="clear" w:color="auto" w:fill="auto"/>
        </w:rPr>
        <w:fldChar w:fldCharType="begin"/>
      </w:r>
      <w:r>
        <w:rPr>
          <w:rFonts w:hint="eastAsia" w:eastAsia="方正仿宋_GBK" w:cs="方正仿宋_GBK"/>
          <w:b w:val="0"/>
          <w:bCs/>
          <w:sz w:val="28"/>
          <w:szCs w:val="28"/>
          <w:shd w:val="clear" w:color="auto" w:fill="auto"/>
        </w:rPr>
        <w:instrText xml:space="preserve"> HYPERLINK \l _Toc886206991 </w:instrText>
      </w:r>
      <w:r>
        <w:rPr>
          <w:rFonts w:hint="eastAsia" w:eastAsia="方正仿宋_GBK" w:cs="方正仿宋_GBK"/>
          <w:b w:val="0"/>
          <w:bCs/>
          <w:sz w:val="28"/>
          <w:szCs w:val="28"/>
          <w:shd w:val="clear" w:color="auto" w:fill="auto"/>
        </w:rPr>
        <w:fldChar w:fldCharType="separate"/>
      </w:r>
      <w:r>
        <w:rPr>
          <w:rFonts w:hint="eastAsia" w:eastAsia="方正仿宋_GBK" w:cs="方正黑体_GBK"/>
          <w:b w:val="0"/>
          <w:bCs/>
          <w:sz w:val="28"/>
          <w:szCs w:val="28"/>
          <w:shd w:val="clear" w:color="auto" w:fill="auto"/>
        </w:rPr>
        <w:t>三、青少年模式对未成年人的影响</w:t>
      </w:r>
      <w:r>
        <w:rPr>
          <w:rFonts w:eastAsia="方正仿宋_GBK"/>
          <w:b w:val="0"/>
          <w:bCs/>
          <w:sz w:val="28"/>
          <w:szCs w:val="28"/>
          <w:shd w:val="clear" w:color="auto" w:fill="auto"/>
        </w:rPr>
        <w:tab/>
      </w:r>
      <w:r>
        <w:rPr>
          <w:rFonts w:eastAsia="方正仿宋_GBK"/>
          <w:b w:val="0"/>
          <w:bCs/>
          <w:sz w:val="28"/>
          <w:szCs w:val="28"/>
          <w:shd w:val="clear" w:color="auto" w:fill="auto"/>
        </w:rPr>
        <w:fldChar w:fldCharType="begin"/>
      </w:r>
      <w:r>
        <w:rPr>
          <w:rFonts w:eastAsia="方正仿宋_GBK"/>
          <w:b w:val="0"/>
          <w:bCs/>
          <w:sz w:val="28"/>
          <w:szCs w:val="28"/>
          <w:shd w:val="clear" w:color="auto" w:fill="auto"/>
        </w:rPr>
        <w:instrText xml:space="preserve"> PAGEREF _Toc886206991 </w:instrText>
      </w:r>
      <w:r>
        <w:rPr>
          <w:rFonts w:eastAsia="方正仿宋_GBK"/>
          <w:b w:val="0"/>
          <w:bCs/>
          <w:sz w:val="28"/>
          <w:szCs w:val="28"/>
          <w:shd w:val="clear" w:color="auto" w:fill="auto"/>
        </w:rPr>
        <w:fldChar w:fldCharType="separate"/>
      </w:r>
      <w:r>
        <w:rPr>
          <w:rFonts w:eastAsia="方正仿宋_GBK"/>
          <w:b w:val="0"/>
          <w:bCs/>
          <w:sz w:val="28"/>
          <w:szCs w:val="28"/>
          <w:shd w:val="clear" w:color="auto" w:fill="auto"/>
        </w:rPr>
        <w:t>45</w:t>
      </w:r>
      <w:r>
        <w:rPr>
          <w:rFonts w:eastAsia="方正仿宋_GBK"/>
          <w:b w:val="0"/>
          <w:bCs/>
          <w:sz w:val="28"/>
          <w:szCs w:val="28"/>
          <w:shd w:val="clear" w:color="auto" w:fill="auto"/>
        </w:rPr>
        <w:fldChar w:fldCharType="end"/>
      </w:r>
      <w:r>
        <w:rPr>
          <w:rFonts w:hint="eastAsia" w:eastAsia="方正仿宋_GBK" w:cs="方正仿宋_GBK"/>
          <w:b w:val="0"/>
          <w:bCs/>
          <w:sz w:val="28"/>
          <w:szCs w:val="28"/>
          <w:shd w:val="clear" w:color="auto" w:fill="auto"/>
        </w:rPr>
        <w:fldChar w:fldCharType="end"/>
      </w:r>
    </w:p>
    <w:p>
      <w:pPr>
        <w:pStyle w:val="26"/>
        <w:keepNext w:val="0"/>
        <w:keepLines w:val="0"/>
        <w:pageBreakBefore w:val="0"/>
        <w:widowControl w:val="0"/>
        <w:tabs>
          <w:tab w:val="right" w:leader="dot" w:pos="8306"/>
          <w:tab w:val="clear" w:pos="1260"/>
          <w:tab w:val="clear" w:pos="8296"/>
        </w:tabs>
        <w:kinsoku/>
        <w:wordWrap/>
        <w:overflowPunct/>
        <w:topLinePunct w:val="0"/>
        <w:autoSpaceDE/>
        <w:autoSpaceDN/>
        <w:bidi w:val="0"/>
        <w:adjustRightInd/>
        <w:snapToGrid/>
        <w:spacing w:line="380" w:lineRule="exact"/>
        <w:textAlignment w:val="auto"/>
        <w:outlineLvl w:val="9"/>
        <w:rPr>
          <w:rFonts w:eastAsia="方正仿宋_GBK"/>
          <w:b w:val="0"/>
          <w:bCs/>
          <w:sz w:val="28"/>
          <w:szCs w:val="28"/>
          <w:shd w:val="clear" w:color="auto" w:fill="auto"/>
        </w:rPr>
      </w:pPr>
      <w:r>
        <w:rPr>
          <w:rFonts w:hint="eastAsia" w:eastAsia="方正仿宋_GBK" w:cs="方正仿宋_GBK"/>
          <w:b w:val="0"/>
          <w:bCs/>
          <w:sz w:val="28"/>
          <w:szCs w:val="28"/>
          <w:shd w:val="clear" w:color="auto" w:fill="auto"/>
        </w:rPr>
        <w:fldChar w:fldCharType="begin"/>
      </w:r>
      <w:r>
        <w:rPr>
          <w:rFonts w:hint="eastAsia" w:eastAsia="方正仿宋_GBK" w:cs="方正仿宋_GBK"/>
          <w:b w:val="0"/>
          <w:bCs/>
          <w:sz w:val="28"/>
          <w:szCs w:val="28"/>
          <w:shd w:val="clear" w:color="auto" w:fill="auto"/>
        </w:rPr>
        <w:instrText xml:space="preserve"> HYPERLINK \l _Toc1777120114 </w:instrText>
      </w:r>
      <w:r>
        <w:rPr>
          <w:rFonts w:hint="eastAsia" w:eastAsia="方正仿宋_GBK" w:cs="方正仿宋_GBK"/>
          <w:b w:val="0"/>
          <w:bCs/>
          <w:sz w:val="28"/>
          <w:szCs w:val="28"/>
          <w:shd w:val="clear" w:color="auto" w:fill="auto"/>
        </w:rPr>
        <w:fldChar w:fldCharType="separate"/>
      </w:r>
      <w:r>
        <w:rPr>
          <w:rFonts w:hint="eastAsia" w:eastAsia="方正仿宋_GBK" w:cs="方正黑体_GBK"/>
          <w:b w:val="0"/>
          <w:bCs/>
          <w:sz w:val="28"/>
          <w:szCs w:val="28"/>
          <w:shd w:val="clear" w:color="auto" w:fill="auto"/>
        </w:rPr>
        <w:t>四、家长自身的网络素养情况</w:t>
      </w:r>
      <w:r>
        <w:rPr>
          <w:rFonts w:eastAsia="方正仿宋_GBK"/>
          <w:b w:val="0"/>
          <w:bCs/>
          <w:sz w:val="28"/>
          <w:szCs w:val="28"/>
          <w:shd w:val="clear" w:color="auto" w:fill="auto"/>
        </w:rPr>
        <w:tab/>
      </w:r>
      <w:r>
        <w:rPr>
          <w:rFonts w:eastAsia="方正仿宋_GBK"/>
          <w:b w:val="0"/>
          <w:bCs/>
          <w:sz w:val="28"/>
          <w:szCs w:val="28"/>
          <w:shd w:val="clear" w:color="auto" w:fill="auto"/>
        </w:rPr>
        <w:fldChar w:fldCharType="begin"/>
      </w:r>
      <w:r>
        <w:rPr>
          <w:rFonts w:eastAsia="方正仿宋_GBK"/>
          <w:b w:val="0"/>
          <w:bCs/>
          <w:sz w:val="28"/>
          <w:szCs w:val="28"/>
          <w:shd w:val="clear" w:color="auto" w:fill="auto"/>
        </w:rPr>
        <w:instrText xml:space="preserve"> PAGEREF _Toc1777120114 </w:instrText>
      </w:r>
      <w:r>
        <w:rPr>
          <w:rFonts w:eastAsia="方正仿宋_GBK"/>
          <w:b w:val="0"/>
          <w:bCs/>
          <w:sz w:val="28"/>
          <w:szCs w:val="28"/>
          <w:shd w:val="clear" w:color="auto" w:fill="auto"/>
        </w:rPr>
        <w:fldChar w:fldCharType="separate"/>
      </w:r>
      <w:r>
        <w:rPr>
          <w:rFonts w:eastAsia="方正仿宋_GBK"/>
          <w:b w:val="0"/>
          <w:bCs/>
          <w:sz w:val="28"/>
          <w:szCs w:val="28"/>
          <w:shd w:val="clear" w:color="auto" w:fill="auto"/>
        </w:rPr>
        <w:t>49</w:t>
      </w:r>
      <w:r>
        <w:rPr>
          <w:rFonts w:eastAsia="方正仿宋_GBK"/>
          <w:b w:val="0"/>
          <w:bCs/>
          <w:sz w:val="28"/>
          <w:szCs w:val="28"/>
          <w:shd w:val="clear" w:color="auto" w:fill="auto"/>
        </w:rPr>
        <w:fldChar w:fldCharType="end"/>
      </w:r>
      <w:r>
        <w:rPr>
          <w:rFonts w:hint="eastAsia" w:eastAsia="方正仿宋_GBK" w:cs="方正仿宋_GBK"/>
          <w:b w:val="0"/>
          <w:bCs/>
          <w:sz w:val="28"/>
          <w:szCs w:val="28"/>
          <w:shd w:val="clear" w:color="auto" w:fill="auto"/>
        </w:rPr>
        <w:fldChar w:fldCharType="end"/>
      </w:r>
    </w:p>
    <w:p>
      <w:pPr>
        <w:pStyle w:val="21"/>
        <w:keepNext w:val="0"/>
        <w:keepLines w:val="0"/>
        <w:pageBreakBefore w:val="0"/>
        <w:widowControl w:val="0"/>
        <w:tabs>
          <w:tab w:val="right" w:leader="dot" w:pos="8306"/>
          <w:tab w:val="clear" w:pos="8296"/>
        </w:tabs>
        <w:kinsoku/>
        <w:wordWrap/>
        <w:overflowPunct/>
        <w:topLinePunct w:val="0"/>
        <w:autoSpaceDE/>
        <w:autoSpaceDN/>
        <w:bidi w:val="0"/>
        <w:adjustRightInd/>
        <w:snapToGrid/>
        <w:spacing w:before="0" w:after="0" w:line="380" w:lineRule="exact"/>
        <w:textAlignment w:val="auto"/>
        <w:outlineLvl w:val="9"/>
        <w:rPr>
          <w:rFonts w:hint="eastAsia" w:eastAsia="方正黑体_GBK" w:cs="方正仿宋_GBK"/>
          <w:b w:val="0"/>
          <w:bCs/>
          <w:sz w:val="28"/>
          <w:szCs w:val="28"/>
          <w:shd w:val="clear" w:color="auto" w:fill="auto"/>
        </w:rPr>
      </w:pPr>
      <w:r>
        <w:rPr>
          <w:rFonts w:hint="eastAsia" w:eastAsia="方正黑体_GBK" w:cs="方正仿宋_GBK"/>
          <w:b w:val="0"/>
          <w:bCs/>
          <w:sz w:val="28"/>
          <w:szCs w:val="28"/>
          <w:shd w:val="clear" w:color="auto" w:fill="auto"/>
        </w:rPr>
        <w:fldChar w:fldCharType="begin"/>
      </w:r>
      <w:r>
        <w:rPr>
          <w:rFonts w:hint="eastAsia" w:eastAsia="方正黑体_GBK" w:cs="方正仿宋_GBK"/>
          <w:b w:val="0"/>
          <w:bCs/>
          <w:sz w:val="28"/>
          <w:szCs w:val="28"/>
          <w:shd w:val="clear" w:color="auto" w:fill="auto"/>
        </w:rPr>
        <w:instrText xml:space="preserve"> HYPERLINK \l _Toc894443835 </w:instrText>
      </w:r>
      <w:r>
        <w:rPr>
          <w:rFonts w:hint="eastAsia" w:eastAsia="方正黑体_GBK" w:cs="方正仿宋_GBK"/>
          <w:b w:val="0"/>
          <w:bCs/>
          <w:sz w:val="28"/>
          <w:szCs w:val="28"/>
          <w:shd w:val="clear" w:color="auto" w:fill="auto"/>
        </w:rPr>
        <w:fldChar w:fldCharType="separate"/>
      </w:r>
      <w:r>
        <w:rPr>
          <w:rFonts w:hint="eastAsia" w:eastAsia="方正黑体_GBK" w:cs="方正仿宋_GBK"/>
          <w:b w:val="0"/>
          <w:bCs/>
          <w:sz w:val="28"/>
          <w:szCs w:val="28"/>
          <w:shd w:val="clear" w:color="auto" w:fill="auto"/>
        </w:rPr>
        <w:t>第五章  未成年人网络安全与权益保护</w:t>
      </w:r>
      <w:r>
        <w:rPr>
          <w:rFonts w:hint="eastAsia" w:eastAsia="方正黑体_GBK" w:cs="方正仿宋_GBK"/>
          <w:b w:val="0"/>
          <w:bCs/>
          <w:sz w:val="28"/>
          <w:szCs w:val="28"/>
          <w:shd w:val="clear" w:color="auto" w:fill="auto"/>
        </w:rPr>
        <w:tab/>
      </w:r>
      <w:r>
        <w:rPr>
          <w:rFonts w:hint="eastAsia" w:eastAsia="方正黑体_GBK" w:cs="方正仿宋_GBK"/>
          <w:b w:val="0"/>
          <w:bCs/>
          <w:sz w:val="28"/>
          <w:szCs w:val="28"/>
          <w:shd w:val="clear" w:color="auto" w:fill="auto"/>
        </w:rPr>
        <w:fldChar w:fldCharType="begin"/>
      </w:r>
      <w:r>
        <w:rPr>
          <w:rFonts w:hint="eastAsia" w:eastAsia="方正黑体_GBK" w:cs="方正仿宋_GBK"/>
          <w:b w:val="0"/>
          <w:bCs/>
          <w:sz w:val="28"/>
          <w:szCs w:val="28"/>
          <w:shd w:val="clear" w:color="auto" w:fill="auto"/>
        </w:rPr>
        <w:instrText xml:space="preserve"> PAGEREF _Toc894443835 </w:instrText>
      </w:r>
      <w:r>
        <w:rPr>
          <w:rFonts w:hint="eastAsia" w:eastAsia="方正黑体_GBK" w:cs="方正仿宋_GBK"/>
          <w:b w:val="0"/>
          <w:bCs/>
          <w:sz w:val="28"/>
          <w:szCs w:val="28"/>
          <w:shd w:val="clear" w:color="auto" w:fill="auto"/>
        </w:rPr>
        <w:fldChar w:fldCharType="separate"/>
      </w:r>
      <w:r>
        <w:rPr>
          <w:rFonts w:hint="eastAsia" w:eastAsia="方正黑体_GBK" w:cs="方正仿宋_GBK"/>
          <w:b w:val="0"/>
          <w:bCs/>
          <w:sz w:val="28"/>
          <w:szCs w:val="28"/>
          <w:shd w:val="clear" w:color="auto" w:fill="auto"/>
        </w:rPr>
        <w:t>52</w:t>
      </w:r>
      <w:r>
        <w:rPr>
          <w:rFonts w:hint="eastAsia" w:eastAsia="方正黑体_GBK" w:cs="方正仿宋_GBK"/>
          <w:b w:val="0"/>
          <w:bCs/>
          <w:sz w:val="28"/>
          <w:szCs w:val="28"/>
          <w:shd w:val="clear" w:color="auto" w:fill="auto"/>
        </w:rPr>
        <w:fldChar w:fldCharType="end"/>
      </w:r>
      <w:r>
        <w:rPr>
          <w:rFonts w:hint="eastAsia" w:eastAsia="方正黑体_GBK" w:cs="方正仿宋_GBK"/>
          <w:b w:val="0"/>
          <w:bCs/>
          <w:sz w:val="28"/>
          <w:szCs w:val="28"/>
          <w:shd w:val="clear" w:color="auto" w:fill="auto"/>
        </w:rPr>
        <w:fldChar w:fldCharType="end"/>
      </w:r>
    </w:p>
    <w:p>
      <w:pPr>
        <w:pStyle w:val="26"/>
        <w:keepNext w:val="0"/>
        <w:keepLines w:val="0"/>
        <w:pageBreakBefore w:val="0"/>
        <w:widowControl w:val="0"/>
        <w:tabs>
          <w:tab w:val="right" w:leader="dot" w:pos="8306"/>
          <w:tab w:val="clear" w:pos="1260"/>
          <w:tab w:val="clear" w:pos="8296"/>
        </w:tabs>
        <w:kinsoku/>
        <w:wordWrap/>
        <w:overflowPunct/>
        <w:topLinePunct w:val="0"/>
        <w:autoSpaceDE/>
        <w:autoSpaceDN/>
        <w:bidi w:val="0"/>
        <w:adjustRightInd/>
        <w:snapToGrid/>
        <w:spacing w:line="380" w:lineRule="exact"/>
        <w:textAlignment w:val="auto"/>
        <w:outlineLvl w:val="9"/>
        <w:rPr>
          <w:rFonts w:eastAsia="方正仿宋_GBK"/>
          <w:b w:val="0"/>
          <w:bCs/>
          <w:sz w:val="28"/>
          <w:szCs w:val="28"/>
          <w:shd w:val="clear" w:color="auto" w:fill="auto"/>
        </w:rPr>
      </w:pPr>
      <w:r>
        <w:rPr>
          <w:rFonts w:hint="eastAsia" w:eastAsia="方正仿宋_GBK" w:cs="方正仿宋_GBK"/>
          <w:b w:val="0"/>
          <w:bCs/>
          <w:sz w:val="28"/>
          <w:szCs w:val="28"/>
          <w:shd w:val="clear" w:color="auto" w:fill="auto"/>
        </w:rPr>
        <w:fldChar w:fldCharType="begin"/>
      </w:r>
      <w:r>
        <w:rPr>
          <w:rFonts w:hint="eastAsia" w:eastAsia="方正仿宋_GBK" w:cs="方正仿宋_GBK"/>
          <w:b w:val="0"/>
          <w:bCs/>
          <w:sz w:val="28"/>
          <w:szCs w:val="28"/>
          <w:shd w:val="clear" w:color="auto" w:fill="auto"/>
        </w:rPr>
        <w:instrText xml:space="preserve"> HYPERLINK \l _Toc1362774443 </w:instrText>
      </w:r>
      <w:r>
        <w:rPr>
          <w:rFonts w:hint="eastAsia" w:eastAsia="方正仿宋_GBK" w:cs="方正仿宋_GBK"/>
          <w:b w:val="0"/>
          <w:bCs/>
          <w:sz w:val="28"/>
          <w:szCs w:val="28"/>
          <w:shd w:val="clear" w:color="auto" w:fill="auto"/>
        </w:rPr>
        <w:fldChar w:fldCharType="separate"/>
      </w:r>
      <w:r>
        <w:rPr>
          <w:rFonts w:hint="eastAsia" w:eastAsia="方正仿宋_GBK" w:cs="方正黑体_GBK"/>
          <w:b w:val="0"/>
          <w:bCs/>
          <w:sz w:val="28"/>
          <w:szCs w:val="28"/>
          <w:shd w:val="clear" w:color="auto" w:fill="auto"/>
        </w:rPr>
        <w:t>一、未成年人遭遇网络安全事件的情况</w:t>
      </w:r>
      <w:r>
        <w:rPr>
          <w:rFonts w:eastAsia="方正仿宋_GBK"/>
          <w:b w:val="0"/>
          <w:bCs/>
          <w:sz w:val="28"/>
          <w:szCs w:val="28"/>
          <w:shd w:val="clear" w:color="auto" w:fill="auto"/>
        </w:rPr>
        <w:tab/>
      </w:r>
      <w:r>
        <w:rPr>
          <w:rFonts w:eastAsia="方正仿宋_GBK"/>
          <w:b w:val="0"/>
          <w:bCs/>
          <w:sz w:val="28"/>
          <w:szCs w:val="28"/>
          <w:shd w:val="clear" w:color="auto" w:fill="auto"/>
        </w:rPr>
        <w:fldChar w:fldCharType="begin"/>
      </w:r>
      <w:r>
        <w:rPr>
          <w:rFonts w:eastAsia="方正仿宋_GBK"/>
          <w:b w:val="0"/>
          <w:bCs/>
          <w:sz w:val="28"/>
          <w:szCs w:val="28"/>
          <w:shd w:val="clear" w:color="auto" w:fill="auto"/>
        </w:rPr>
        <w:instrText xml:space="preserve"> PAGEREF _Toc1362774443 </w:instrText>
      </w:r>
      <w:r>
        <w:rPr>
          <w:rFonts w:eastAsia="方正仿宋_GBK"/>
          <w:b w:val="0"/>
          <w:bCs/>
          <w:sz w:val="28"/>
          <w:szCs w:val="28"/>
          <w:shd w:val="clear" w:color="auto" w:fill="auto"/>
        </w:rPr>
        <w:fldChar w:fldCharType="separate"/>
      </w:r>
      <w:r>
        <w:rPr>
          <w:rFonts w:eastAsia="方正仿宋_GBK"/>
          <w:b w:val="0"/>
          <w:bCs/>
          <w:sz w:val="28"/>
          <w:szCs w:val="28"/>
          <w:shd w:val="clear" w:color="auto" w:fill="auto"/>
        </w:rPr>
        <w:t>52</w:t>
      </w:r>
      <w:r>
        <w:rPr>
          <w:rFonts w:eastAsia="方正仿宋_GBK"/>
          <w:b w:val="0"/>
          <w:bCs/>
          <w:sz w:val="28"/>
          <w:szCs w:val="28"/>
          <w:shd w:val="clear" w:color="auto" w:fill="auto"/>
        </w:rPr>
        <w:fldChar w:fldCharType="end"/>
      </w:r>
      <w:r>
        <w:rPr>
          <w:rFonts w:hint="eastAsia" w:eastAsia="方正仿宋_GBK" w:cs="方正仿宋_GBK"/>
          <w:b w:val="0"/>
          <w:bCs/>
          <w:sz w:val="28"/>
          <w:szCs w:val="28"/>
          <w:shd w:val="clear" w:color="auto" w:fill="auto"/>
        </w:rPr>
        <w:fldChar w:fldCharType="end"/>
      </w:r>
    </w:p>
    <w:p>
      <w:pPr>
        <w:pStyle w:val="26"/>
        <w:keepNext w:val="0"/>
        <w:keepLines w:val="0"/>
        <w:pageBreakBefore w:val="0"/>
        <w:widowControl w:val="0"/>
        <w:tabs>
          <w:tab w:val="right" w:leader="dot" w:pos="8306"/>
          <w:tab w:val="clear" w:pos="1260"/>
          <w:tab w:val="clear" w:pos="8296"/>
        </w:tabs>
        <w:kinsoku/>
        <w:wordWrap/>
        <w:overflowPunct/>
        <w:topLinePunct w:val="0"/>
        <w:autoSpaceDE/>
        <w:autoSpaceDN/>
        <w:bidi w:val="0"/>
        <w:adjustRightInd/>
        <w:snapToGrid/>
        <w:spacing w:line="380" w:lineRule="exact"/>
        <w:textAlignment w:val="auto"/>
        <w:outlineLvl w:val="9"/>
        <w:rPr>
          <w:rFonts w:eastAsia="方正仿宋_GBK"/>
          <w:b w:val="0"/>
          <w:bCs/>
          <w:sz w:val="28"/>
          <w:szCs w:val="28"/>
          <w:shd w:val="clear" w:color="auto" w:fill="auto"/>
        </w:rPr>
      </w:pPr>
      <w:r>
        <w:rPr>
          <w:rFonts w:hint="eastAsia" w:eastAsia="方正仿宋_GBK" w:cs="方正仿宋_GBK"/>
          <w:b w:val="0"/>
          <w:bCs/>
          <w:sz w:val="28"/>
          <w:szCs w:val="28"/>
          <w:shd w:val="clear" w:color="auto" w:fill="auto"/>
        </w:rPr>
        <w:fldChar w:fldCharType="begin"/>
      </w:r>
      <w:r>
        <w:rPr>
          <w:rFonts w:hint="eastAsia" w:eastAsia="方正仿宋_GBK" w:cs="方正仿宋_GBK"/>
          <w:b w:val="0"/>
          <w:bCs/>
          <w:sz w:val="28"/>
          <w:szCs w:val="28"/>
          <w:shd w:val="clear" w:color="auto" w:fill="auto"/>
        </w:rPr>
        <w:instrText xml:space="preserve"> HYPERLINK \l _Toc1978119351 </w:instrText>
      </w:r>
      <w:r>
        <w:rPr>
          <w:rFonts w:hint="eastAsia" w:eastAsia="方正仿宋_GBK" w:cs="方正仿宋_GBK"/>
          <w:b w:val="0"/>
          <w:bCs/>
          <w:sz w:val="28"/>
          <w:szCs w:val="28"/>
          <w:shd w:val="clear" w:color="auto" w:fill="auto"/>
        </w:rPr>
        <w:fldChar w:fldCharType="separate"/>
      </w:r>
      <w:r>
        <w:rPr>
          <w:rFonts w:hint="eastAsia" w:eastAsia="方正仿宋_GBK" w:cs="方正黑体_GBK"/>
          <w:b w:val="0"/>
          <w:bCs/>
          <w:sz w:val="28"/>
          <w:szCs w:val="28"/>
          <w:shd w:val="clear" w:color="auto" w:fill="auto"/>
        </w:rPr>
        <w:t>二、未成年人遭遇网络不良或消极负面信息的情况</w:t>
      </w:r>
      <w:r>
        <w:rPr>
          <w:rFonts w:eastAsia="方正仿宋_GBK"/>
          <w:b w:val="0"/>
          <w:bCs/>
          <w:sz w:val="28"/>
          <w:szCs w:val="28"/>
          <w:shd w:val="clear" w:color="auto" w:fill="auto"/>
        </w:rPr>
        <w:tab/>
      </w:r>
      <w:r>
        <w:rPr>
          <w:rFonts w:eastAsia="方正仿宋_GBK"/>
          <w:b w:val="0"/>
          <w:bCs/>
          <w:sz w:val="28"/>
          <w:szCs w:val="28"/>
          <w:shd w:val="clear" w:color="auto" w:fill="auto"/>
        </w:rPr>
        <w:fldChar w:fldCharType="begin"/>
      </w:r>
      <w:r>
        <w:rPr>
          <w:rFonts w:eastAsia="方正仿宋_GBK"/>
          <w:b w:val="0"/>
          <w:bCs/>
          <w:sz w:val="28"/>
          <w:szCs w:val="28"/>
          <w:shd w:val="clear" w:color="auto" w:fill="auto"/>
        </w:rPr>
        <w:instrText xml:space="preserve"> PAGEREF _Toc1978119351 </w:instrText>
      </w:r>
      <w:r>
        <w:rPr>
          <w:rFonts w:eastAsia="方正仿宋_GBK"/>
          <w:b w:val="0"/>
          <w:bCs/>
          <w:sz w:val="28"/>
          <w:szCs w:val="28"/>
          <w:shd w:val="clear" w:color="auto" w:fill="auto"/>
        </w:rPr>
        <w:fldChar w:fldCharType="separate"/>
      </w:r>
      <w:r>
        <w:rPr>
          <w:rFonts w:eastAsia="方正仿宋_GBK"/>
          <w:b w:val="0"/>
          <w:bCs/>
          <w:sz w:val="28"/>
          <w:szCs w:val="28"/>
          <w:shd w:val="clear" w:color="auto" w:fill="auto"/>
        </w:rPr>
        <w:t>52</w:t>
      </w:r>
      <w:r>
        <w:rPr>
          <w:rFonts w:eastAsia="方正仿宋_GBK"/>
          <w:b w:val="0"/>
          <w:bCs/>
          <w:sz w:val="28"/>
          <w:szCs w:val="28"/>
          <w:shd w:val="clear" w:color="auto" w:fill="auto"/>
        </w:rPr>
        <w:fldChar w:fldCharType="end"/>
      </w:r>
      <w:r>
        <w:rPr>
          <w:rFonts w:hint="eastAsia" w:eastAsia="方正仿宋_GBK" w:cs="方正仿宋_GBK"/>
          <w:b w:val="0"/>
          <w:bCs/>
          <w:sz w:val="28"/>
          <w:szCs w:val="28"/>
          <w:shd w:val="clear" w:color="auto" w:fill="auto"/>
        </w:rPr>
        <w:fldChar w:fldCharType="end"/>
      </w:r>
    </w:p>
    <w:p>
      <w:pPr>
        <w:pStyle w:val="26"/>
        <w:keepNext w:val="0"/>
        <w:keepLines w:val="0"/>
        <w:pageBreakBefore w:val="0"/>
        <w:widowControl w:val="0"/>
        <w:tabs>
          <w:tab w:val="right" w:leader="dot" w:pos="8306"/>
          <w:tab w:val="clear" w:pos="1260"/>
          <w:tab w:val="clear" w:pos="8296"/>
        </w:tabs>
        <w:kinsoku/>
        <w:wordWrap/>
        <w:overflowPunct/>
        <w:topLinePunct w:val="0"/>
        <w:autoSpaceDE/>
        <w:autoSpaceDN/>
        <w:bidi w:val="0"/>
        <w:adjustRightInd/>
        <w:snapToGrid/>
        <w:spacing w:line="380" w:lineRule="exact"/>
        <w:textAlignment w:val="auto"/>
        <w:outlineLvl w:val="9"/>
        <w:rPr>
          <w:rFonts w:eastAsia="方正仿宋_GBK"/>
          <w:b w:val="0"/>
          <w:bCs/>
          <w:sz w:val="28"/>
          <w:szCs w:val="28"/>
          <w:shd w:val="clear" w:color="auto" w:fill="auto"/>
        </w:rPr>
      </w:pPr>
      <w:r>
        <w:rPr>
          <w:rFonts w:hint="eastAsia" w:eastAsia="方正仿宋_GBK" w:cs="方正仿宋_GBK"/>
          <w:b w:val="0"/>
          <w:bCs/>
          <w:sz w:val="28"/>
          <w:szCs w:val="28"/>
          <w:shd w:val="clear" w:color="auto" w:fill="auto"/>
        </w:rPr>
        <w:fldChar w:fldCharType="begin"/>
      </w:r>
      <w:r>
        <w:rPr>
          <w:rFonts w:hint="eastAsia" w:eastAsia="方正仿宋_GBK" w:cs="方正仿宋_GBK"/>
          <w:b w:val="0"/>
          <w:bCs/>
          <w:sz w:val="28"/>
          <w:szCs w:val="28"/>
          <w:shd w:val="clear" w:color="auto" w:fill="auto"/>
        </w:rPr>
        <w:instrText xml:space="preserve"> HYPERLINK \l _Toc1434725786 </w:instrText>
      </w:r>
      <w:r>
        <w:rPr>
          <w:rFonts w:hint="eastAsia" w:eastAsia="方正仿宋_GBK" w:cs="方正仿宋_GBK"/>
          <w:b w:val="0"/>
          <w:bCs/>
          <w:sz w:val="28"/>
          <w:szCs w:val="28"/>
          <w:shd w:val="clear" w:color="auto" w:fill="auto"/>
        </w:rPr>
        <w:fldChar w:fldCharType="separate"/>
      </w:r>
      <w:r>
        <w:rPr>
          <w:rFonts w:hint="eastAsia" w:eastAsia="方正仿宋_GBK" w:cs="方正黑体_GBK"/>
          <w:b w:val="0"/>
          <w:bCs/>
          <w:sz w:val="28"/>
          <w:szCs w:val="28"/>
          <w:shd w:val="clear" w:color="auto" w:fill="auto"/>
        </w:rPr>
        <w:t>三、未成年人遭遇网络暴力的情况</w:t>
      </w:r>
      <w:r>
        <w:rPr>
          <w:rFonts w:eastAsia="方正仿宋_GBK"/>
          <w:b w:val="0"/>
          <w:bCs/>
          <w:sz w:val="28"/>
          <w:szCs w:val="28"/>
          <w:shd w:val="clear" w:color="auto" w:fill="auto"/>
        </w:rPr>
        <w:tab/>
      </w:r>
      <w:r>
        <w:rPr>
          <w:rFonts w:eastAsia="方正仿宋_GBK"/>
          <w:b w:val="0"/>
          <w:bCs/>
          <w:sz w:val="28"/>
          <w:szCs w:val="28"/>
          <w:shd w:val="clear" w:color="auto" w:fill="auto"/>
        </w:rPr>
        <w:fldChar w:fldCharType="begin"/>
      </w:r>
      <w:r>
        <w:rPr>
          <w:rFonts w:eastAsia="方正仿宋_GBK"/>
          <w:b w:val="0"/>
          <w:bCs/>
          <w:sz w:val="28"/>
          <w:szCs w:val="28"/>
          <w:shd w:val="clear" w:color="auto" w:fill="auto"/>
        </w:rPr>
        <w:instrText xml:space="preserve"> PAGEREF _Toc1434725786 </w:instrText>
      </w:r>
      <w:r>
        <w:rPr>
          <w:rFonts w:eastAsia="方正仿宋_GBK"/>
          <w:b w:val="0"/>
          <w:bCs/>
          <w:sz w:val="28"/>
          <w:szCs w:val="28"/>
          <w:shd w:val="clear" w:color="auto" w:fill="auto"/>
        </w:rPr>
        <w:fldChar w:fldCharType="separate"/>
      </w:r>
      <w:r>
        <w:rPr>
          <w:rFonts w:eastAsia="方正仿宋_GBK"/>
          <w:b w:val="0"/>
          <w:bCs/>
          <w:sz w:val="28"/>
          <w:szCs w:val="28"/>
          <w:shd w:val="clear" w:color="auto" w:fill="auto"/>
        </w:rPr>
        <w:t>53</w:t>
      </w:r>
      <w:r>
        <w:rPr>
          <w:rFonts w:eastAsia="方正仿宋_GBK"/>
          <w:b w:val="0"/>
          <w:bCs/>
          <w:sz w:val="28"/>
          <w:szCs w:val="28"/>
          <w:shd w:val="clear" w:color="auto" w:fill="auto"/>
        </w:rPr>
        <w:fldChar w:fldCharType="end"/>
      </w:r>
      <w:r>
        <w:rPr>
          <w:rFonts w:hint="eastAsia" w:eastAsia="方正仿宋_GBK" w:cs="方正仿宋_GBK"/>
          <w:b w:val="0"/>
          <w:bCs/>
          <w:sz w:val="28"/>
          <w:szCs w:val="28"/>
          <w:shd w:val="clear" w:color="auto" w:fill="auto"/>
        </w:rPr>
        <w:fldChar w:fldCharType="end"/>
      </w:r>
    </w:p>
    <w:p>
      <w:pPr>
        <w:pStyle w:val="26"/>
        <w:keepNext w:val="0"/>
        <w:keepLines w:val="0"/>
        <w:pageBreakBefore w:val="0"/>
        <w:widowControl w:val="0"/>
        <w:tabs>
          <w:tab w:val="right" w:leader="dot" w:pos="8306"/>
          <w:tab w:val="clear" w:pos="1260"/>
          <w:tab w:val="clear" w:pos="8296"/>
        </w:tabs>
        <w:kinsoku/>
        <w:wordWrap/>
        <w:overflowPunct/>
        <w:topLinePunct w:val="0"/>
        <w:autoSpaceDE/>
        <w:autoSpaceDN/>
        <w:bidi w:val="0"/>
        <w:adjustRightInd/>
        <w:snapToGrid/>
        <w:spacing w:line="380" w:lineRule="exact"/>
        <w:textAlignment w:val="auto"/>
        <w:outlineLvl w:val="9"/>
        <w:rPr>
          <w:rFonts w:eastAsia="方正仿宋_GBK"/>
          <w:b w:val="0"/>
          <w:bCs/>
          <w:sz w:val="28"/>
          <w:szCs w:val="28"/>
          <w:shd w:val="clear" w:color="auto" w:fill="auto"/>
        </w:rPr>
      </w:pPr>
      <w:r>
        <w:rPr>
          <w:rFonts w:hint="eastAsia" w:eastAsia="方正仿宋_GBK" w:cs="方正仿宋_GBK"/>
          <w:b w:val="0"/>
          <w:bCs/>
          <w:sz w:val="28"/>
          <w:szCs w:val="28"/>
          <w:shd w:val="clear" w:color="auto" w:fill="auto"/>
        </w:rPr>
        <w:fldChar w:fldCharType="begin"/>
      </w:r>
      <w:r>
        <w:rPr>
          <w:rFonts w:hint="eastAsia" w:eastAsia="方正仿宋_GBK" w:cs="方正仿宋_GBK"/>
          <w:b w:val="0"/>
          <w:bCs/>
          <w:sz w:val="28"/>
          <w:szCs w:val="28"/>
          <w:shd w:val="clear" w:color="auto" w:fill="auto"/>
        </w:rPr>
        <w:instrText xml:space="preserve"> HYPERLINK \l _Toc1464301425 </w:instrText>
      </w:r>
      <w:r>
        <w:rPr>
          <w:rFonts w:hint="eastAsia" w:eastAsia="方正仿宋_GBK" w:cs="方正仿宋_GBK"/>
          <w:b w:val="0"/>
          <w:bCs/>
          <w:sz w:val="28"/>
          <w:szCs w:val="28"/>
          <w:shd w:val="clear" w:color="auto" w:fill="auto"/>
        </w:rPr>
        <w:fldChar w:fldCharType="separate"/>
      </w:r>
      <w:r>
        <w:rPr>
          <w:rFonts w:hint="eastAsia" w:eastAsia="方正仿宋_GBK" w:cs="方正黑体_GBK"/>
          <w:b w:val="0"/>
          <w:bCs/>
          <w:sz w:val="28"/>
          <w:szCs w:val="28"/>
          <w:shd w:val="clear" w:color="auto" w:fill="auto"/>
        </w:rPr>
        <w:t>四、未成年人网络权益维护的认知情况</w:t>
      </w:r>
      <w:r>
        <w:rPr>
          <w:rFonts w:eastAsia="方正仿宋_GBK"/>
          <w:b w:val="0"/>
          <w:bCs/>
          <w:sz w:val="28"/>
          <w:szCs w:val="28"/>
          <w:shd w:val="clear" w:color="auto" w:fill="auto"/>
        </w:rPr>
        <w:tab/>
      </w:r>
      <w:r>
        <w:rPr>
          <w:rFonts w:eastAsia="方正仿宋_GBK"/>
          <w:b w:val="0"/>
          <w:bCs/>
          <w:sz w:val="28"/>
          <w:szCs w:val="28"/>
          <w:shd w:val="clear" w:color="auto" w:fill="auto"/>
        </w:rPr>
        <w:fldChar w:fldCharType="begin"/>
      </w:r>
      <w:r>
        <w:rPr>
          <w:rFonts w:eastAsia="方正仿宋_GBK"/>
          <w:b w:val="0"/>
          <w:bCs/>
          <w:sz w:val="28"/>
          <w:szCs w:val="28"/>
          <w:shd w:val="clear" w:color="auto" w:fill="auto"/>
        </w:rPr>
        <w:instrText xml:space="preserve"> PAGEREF _Toc1464301425 </w:instrText>
      </w:r>
      <w:r>
        <w:rPr>
          <w:rFonts w:eastAsia="方正仿宋_GBK"/>
          <w:b w:val="0"/>
          <w:bCs/>
          <w:sz w:val="28"/>
          <w:szCs w:val="28"/>
          <w:shd w:val="clear" w:color="auto" w:fill="auto"/>
        </w:rPr>
        <w:fldChar w:fldCharType="separate"/>
      </w:r>
      <w:r>
        <w:rPr>
          <w:rFonts w:eastAsia="方正仿宋_GBK"/>
          <w:b w:val="0"/>
          <w:bCs/>
          <w:sz w:val="28"/>
          <w:szCs w:val="28"/>
          <w:shd w:val="clear" w:color="auto" w:fill="auto"/>
        </w:rPr>
        <w:t>55</w:t>
      </w:r>
      <w:r>
        <w:rPr>
          <w:rFonts w:eastAsia="方正仿宋_GBK"/>
          <w:b w:val="0"/>
          <w:bCs/>
          <w:sz w:val="28"/>
          <w:szCs w:val="28"/>
          <w:shd w:val="clear" w:color="auto" w:fill="auto"/>
        </w:rPr>
        <w:fldChar w:fldCharType="end"/>
      </w:r>
      <w:r>
        <w:rPr>
          <w:rFonts w:hint="eastAsia" w:eastAsia="方正仿宋_GBK" w:cs="方正仿宋_GBK"/>
          <w:b w:val="0"/>
          <w:bCs/>
          <w:sz w:val="28"/>
          <w:szCs w:val="28"/>
          <w:shd w:val="clear" w:color="auto" w:fill="auto"/>
        </w:rPr>
        <w:fldChar w:fldCharType="end"/>
      </w:r>
    </w:p>
    <w:p>
      <w:pPr>
        <w:pStyle w:val="26"/>
        <w:keepNext w:val="0"/>
        <w:keepLines w:val="0"/>
        <w:pageBreakBefore w:val="0"/>
        <w:widowControl w:val="0"/>
        <w:tabs>
          <w:tab w:val="right" w:leader="dot" w:pos="8306"/>
          <w:tab w:val="clear" w:pos="1260"/>
          <w:tab w:val="clear" w:pos="8296"/>
        </w:tabs>
        <w:kinsoku/>
        <w:wordWrap/>
        <w:overflowPunct/>
        <w:topLinePunct w:val="0"/>
        <w:autoSpaceDE/>
        <w:autoSpaceDN/>
        <w:bidi w:val="0"/>
        <w:adjustRightInd/>
        <w:snapToGrid/>
        <w:spacing w:line="380" w:lineRule="exact"/>
        <w:textAlignment w:val="auto"/>
        <w:outlineLvl w:val="9"/>
        <w:rPr>
          <w:rFonts w:eastAsia="方正仿宋_GBK"/>
          <w:b w:val="0"/>
          <w:bCs/>
          <w:sz w:val="28"/>
          <w:szCs w:val="28"/>
          <w:shd w:val="clear" w:color="auto" w:fill="auto"/>
        </w:rPr>
      </w:pPr>
      <w:r>
        <w:rPr>
          <w:rFonts w:hint="eastAsia" w:eastAsia="方正仿宋_GBK" w:cs="方正仿宋_GBK"/>
          <w:b w:val="0"/>
          <w:bCs/>
          <w:sz w:val="28"/>
          <w:szCs w:val="28"/>
          <w:shd w:val="clear" w:color="auto" w:fill="auto"/>
        </w:rPr>
        <w:fldChar w:fldCharType="begin"/>
      </w:r>
      <w:r>
        <w:rPr>
          <w:rFonts w:hint="eastAsia" w:eastAsia="方正仿宋_GBK" w:cs="方正仿宋_GBK"/>
          <w:b w:val="0"/>
          <w:bCs/>
          <w:sz w:val="28"/>
          <w:szCs w:val="28"/>
          <w:shd w:val="clear" w:color="auto" w:fill="auto"/>
        </w:rPr>
        <w:instrText xml:space="preserve"> HYPERLINK \l _Toc1761547877 </w:instrText>
      </w:r>
      <w:r>
        <w:rPr>
          <w:rFonts w:hint="eastAsia" w:eastAsia="方正仿宋_GBK" w:cs="方正仿宋_GBK"/>
          <w:b w:val="0"/>
          <w:bCs/>
          <w:sz w:val="28"/>
          <w:szCs w:val="28"/>
          <w:shd w:val="clear" w:color="auto" w:fill="auto"/>
        </w:rPr>
        <w:fldChar w:fldCharType="separate"/>
      </w:r>
      <w:r>
        <w:rPr>
          <w:rFonts w:hint="eastAsia" w:eastAsia="方正仿宋_GBK" w:cs="方正黑体_GBK"/>
          <w:b w:val="0"/>
          <w:bCs/>
          <w:sz w:val="28"/>
          <w:szCs w:val="28"/>
          <w:shd w:val="clear" w:color="auto" w:fill="auto"/>
        </w:rPr>
        <w:t>五、未成年人网络安全防范意识的情况</w:t>
      </w:r>
      <w:r>
        <w:rPr>
          <w:rFonts w:eastAsia="方正仿宋_GBK"/>
          <w:b w:val="0"/>
          <w:bCs/>
          <w:sz w:val="28"/>
          <w:szCs w:val="28"/>
          <w:shd w:val="clear" w:color="auto" w:fill="auto"/>
        </w:rPr>
        <w:tab/>
      </w:r>
      <w:r>
        <w:rPr>
          <w:rFonts w:eastAsia="方正仿宋_GBK"/>
          <w:b w:val="0"/>
          <w:bCs/>
          <w:sz w:val="28"/>
          <w:szCs w:val="28"/>
          <w:shd w:val="clear" w:color="auto" w:fill="auto"/>
        </w:rPr>
        <w:fldChar w:fldCharType="begin"/>
      </w:r>
      <w:r>
        <w:rPr>
          <w:rFonts w:eastAsia="方正仿宋_GBK"/>
          <w:b w:val="0"/>
          <w:bCs/>
          <w:sz w:val="28"/>
          <w:szCs w:val="28"/>
          <w:shd w:val="clear" w:color="auto" w:fill="auto"/>
        </w:rPr>
        <w:instrText xml:space="preserve"> PAGEREF _Toc1761547877 </w:instrText>
      </w:r>
      <w:r>
        <w:rPr>
          <w:rFonts w:eastAsia="方正仿宋_GBK"/>
          <w:b w:val="0"/>
          <w:bCs/>
          <w:sz w:val="28"/>
          <w:szCs w:val="28"/>
          <w:shd w:val="clear" w:color="auto" w:fill="auto"/>
        </w:rPr>
        <w:fldChar w:fldCharType="separate"/>
      </w:r>
      <w:r>
        <w:rPr>
          <w:rFonts w:eastAsia="方正仿宋_GBK"/>
          <w:b w:val="0"/>
          <w:bCs/>
          <w:sz w:val="28"/>
          <w:szCs w:val="28"/>
          <w:shd w:val="clear" w:color="auto" w:fill="auto"/>
        </w:rPr>
        <w:t>56</w:t>
      </w:r>
      <w:r>
        <w:rPr>
          <w:rFonts w:eastAsia="方正仿宋_GBK"/>
          <w:b w:val="0"/>
          <w:bCs/>
          <w:sz w:val="28"/>
          <w:szCs w:val="28"/>
          <w:shd w:val="clear" w:color="auto" w:fill="auto"/>
        </w:rPr>
        <w:fldChar w:fldCharType="end"/>
      </w:r>
      <w:r>
        <w:rPr>
          <w:rFonts w:hint="eastAsia" w:eastAsia="方正仿宋_GBK" w:cs="方正仿宋_GBK"/>
          <w:b w:val="0"/>
          <w:bCs/>
          <w:sz w:val="28"/>
          <w:szCs w:val="28"/>
          <w:shd w:val="clear" w:color="auto" w:fill="auto"/>
        </w:rPr>
        <w:fldChar w:fldCharType="end"/>
      </w:r>
    </w:p>
    <w:p>
      <w:pPr>
        <w:pStyle w:val="21"/>
        <w:keepNext w:val="0"/>
        <w:keepLines w:val="0"/>
        <w:pageBreakBefore w:val="0"/>
        <w:widowControl w:val="0"/>
        <w:tabs>
          <w:tab w:val="right" w:leader="dot" w:pos="8306"/>
          <w:tab w:val="clear" w:pos="8296"/>
        </w:tabs>
        <w:kinsoku/>
        <w:wordWrap/>
        <w:overflowPunct/>
        <w:topLinePunct w:val="0"/>
        <w:autoSpaceDE/>
        <w:autoSpaceDN/>
        <w:bidi w:val="0"/>
        <w:adjustRightInd/>
        <w:snapToGrid/>
        <w:spacing w:before="0" w:after="0" w:line="380" w:lineRule="exact"/>
        <w:textAlignment w:val="auto"/>
        <w:outlineLvl w:val="9"/>
        <w:rPr>
          <w:rFonts w:hint="eastAsia" w:eastAsia="方正黑体_GBK" w:cs="方正仿宋_GBK"/>
          <w:b w:val="0"/>
          <w:bCs/>
          <w:sz w:val="28"/>
          <w:szCs w:val="28"/>
          <w:shd w:val="clear" w:color="auto" w:fill="auto"/>
        </w:rPr>
      </w:pPr>
      <w:r>
        <w:rPr>
          <w:rFonts w:hint="eastAsia" w:eastAsia="方正黑体_GBK" w:cs="方正仿宋_GBK"/>
          <w:b w:val="0"/>
          <w:bCs/>
          <w:sz w:val="28"/>
          <w:szCs w:val="28"/>
          <w:shd w:val="clear" w:color="auto" w:fill="auto"/>
        </w:rPr>
        <w:fldChar w:fldCharType="begin"/>
      </w:r>
      <w:r>
        <w:rPr>
          <w:rFonts w:hint="eastAsia" w:eastAsia="方正黑体_GBK" w:cs="方正仿宋_GBK"/>
          <w:b w:val="0"/>
          <w:bCs/>
          <w:sz w:val="28"/>
          <w:szCs w:val="28"/>
          <w:shd w:val="clear" w:color="auto" w:fill="auto"/>
        </w:rPr>
        <w:instrText xml:space="preserve"> HYPERLINK \l _Toc864466811 </w:instrText>
      </w:r>
      <w:r>
        <w:rPr>
          <w:rFonts w:hint="eastAsia" w:eastAsia="方正黑体_GBK" w:cs="方正仿宋_GBK"/>
          <w:b w:val="0"/>
          <w:bCs/>
          <w:sz w:val="28"/>
          <w:szCs w:val="28"/>
          <w:shd w:val="clear" w:color="auto" w:fill="auto"/>
        </w:rPr>
        <w:fldChar w:fldCharType="separate"/>
      </w:r>
      <w:r>
        <w:rPr>
          <w:rFonts w:hint="eastAsia" w:eastAsia="方正黑体_GBK" w:cs="方正仿宋_GBK"/>
          <w:b w:val="0"/>
          <w:bCs/>
          <w:sz w:val="28"/>
          <w:szCs w:val="28"/>
          <w:shd w:val="clear" w:color="auto" w:fill="auto"/>
        </w:rPr>
        <w:t>附录</w:t>
      </w:r>
      <w:r>
        <w:rPr>
          <w:rFonts w:hint="eastAsia" w:eastAsia="方正黑体_GBK" w:cs="方正仿宋_GBK"/>
          <w:b w:val="0"/>
          <w:bCs/>
          <w:sz w:val="28"/>
          <w:szCs w:val="28"/>
          <w:shd w:val="clear" w:color="auto" w:fill="auto"/>
        </w:rPr>
        <w:tab/>
      </w:r>
      <w:r>
        <w:rPr>
          <w:rFonts w:hint="eastAsia" w:eastAsia="方正黑体_GBK" w:cs="方正仿宋_GBK"/>
          <w:b w:val="0"/>
          <w:bCs/>
          <w:sz w:val="28"/>
          <w:szCs w:val="28"/>
          <w:shd w:val="clear" w:color="auto" w:fill="auto"/>
        </w:rPr>
        <w:fldChar w:fldCharType="begin"/>
      </w:r>
      <w:r>
        <w:rPr>
          <w:rFonts w:hint="eastAsia" w:eastAsia="方正黑体_GBK" w:cs="方正仿宋_GBK"/>
          <w:b w:val="0"/>
          <w:bCs/>
          <w:sz w:val="28"/>
          <w:szCs w:val="28"/>
          <w:shd w:val="clear" w:color="auto" w:fill="auto"/>
        </w:rPr>
        <w:instrText xml:space="preserve"> PAGEREF _Toc864466811 </w:instrText>
      </w:r>
      <w:r>
        <w:rPr>
          <w:rFonts w:hint="eastAsia" w:eastAsia="方正黑体_GBK" w:cs="方正仿宋_GBK"/>
          <w:b w:val="0"/>
          <w:bCs/>
          <w:sz w:val="28"/>
          <w:szCs w:val="28"/>
          <w:shd w:val="clear" w:color="auto" w:fill="auto"/>
        </w:rPr>
        <w:fldChar w:fldCharType="separate"/>
      </w:r>
      <w:r>
        <w:rPr>
          <w:rFonts w:hint="eastAsia" w:eastAsia="方正黑体_GBK" w:cs="方正仿宋_GBK"/>
          <w:b w:val="0"/>
          <w:bCs/>
          <w:sz w:val="28"/>
          <w:szCs w:val="28"/>
          <w:shd w:val="clear" w:color="auto" w:fill="auto"/>
        </w:rPr>
        <w:t>59</w:t>
      </w:r>
      <w:r>
        <w:rPr>
          <w:rFonts w:hint="eastAsia" w:eastAsia="方正黑体_GBK" w:cs="方正仿宋_GBK"/>
          <w:b w:val="0"/>
          <w:bCs/>
          <w:sz w:val="28"/>
          <w:szCs w:val="28"/>
          <w:shd w:val="clear" w:color="auto" w:fill="auto"/>
        </w:rPr>
        <w:fldChar w:fldCharType="end"/>
      </w:r>
      <w:r>
        <w:rPr>
          <w:rFonts w:hint="eastAsia" w:eastAsia="方正黑体_GBK" w:cs="方正仿宋_GBK"/>
          <w:b w:val="0"/>
          <w:bCs/>
          <w:sz w:val="28"/>
          <w:szCs w:val="28"/>
          <w:shd w:val="clear" w:color="auto" w:fill="auto"/>
        </w:rPr>
        <w:fldChar w:fldCharType="end"/>
      </w:r>
    </w:p>
    <w:p>
      <w:pPr>
        <w:pStyle w:val="21"/>
        <w:keepNext w:val="0"/>
        <w:keepLines w:val="0"/>
        <w:pageBreakBefore w:val="0"/>
        <w:widowControl w:val="0"/>
        <w:tabs>
          <w:tab w:val="right" w:leader="dot" w:pos="8306"/>
          <w:tab w:val="clear" w:pos="8296"/>
        </w:tabs>
        <w:kinsoku/>
        <w:wordWrap/>
        <w:overflowPunct/>
        <w:topLinePunct w:val="0"/>
        <w:autoSpaceDE/>
        <w:autoSpaceDN/>
        <w:bidi w:val="0"/>
        <w:adjustRightInd/>
        <w:snapToGrid/>
        <w:spacing w:before="0" w:after="0" w:line="380" w:lineRule="exact"/>
        <w:textAlignment w:val="auto"/>
        <w:outlineLvl w:val="9"/>
        <w:rPr>
          <w:rFonts w:eastAsia="方正仿宋_GBK" w:cs="方正仿宋_GBK"/>
          <w:b w:val="0"/>
          <w:bCs/>
          <w:sz w:val="30"/>
          <w:szCs w:val="30"/>
          <w:shd w:val="clear" w:color="auto" w:fill="auto"/>
        </w:rPr>
      </w:pPr>
      <w:r>
        <w:rPr>
          <w:rFonts w:hint="eastAsia" w:eastAsia="方正仿宋_GBK" w:cs="方正仿宋_GBK"/>
          <w:b w:val="0"/>
          <w:bCs/>
          <w:sz w:val="28"/>
          <w:szCs w:val="28"/>
          <w:shd w:val="clear" w:color="auto" w:fill="auto"/>
        </w:rPr>
        <w:fldChar w:fldCharType="begin"/>
      </w:r>
      <w:r>
        <w:rPr>
          <w:rFonts w:hint="eastAsia" w:eastAsia="方正仿宋_GBK" w:cs="方正仿宋_GBK"/>
          <w:b w:val="0"/>
          <w:bCs/>
          <w:sz w:val="28"/>
          <w:szCs w:val="28"/>
          <w:shd w:val="clear" w:color="auto" w:fill="auto"/>
        </w:rPr>
        <w:instrText xml:space="preserve"> HYPERLINK \l _Toc1467050632 </w:instrText>
      </w:r>
      <w:r>
        <w:rPr>
          <w:rFonts w:hint="eastAsia" w:eastAsia="方正仿宋_GBK" w:cs="方正仿宋_GBK"/>
          <w:b w:val="0"/>
          <w:bCs/>
          <w:sz w:val="28"/>
          <w:szCs w:val="28"/>
          <w:shd w:val="clear" w:color="auto" w:fill="auto"/>
        </w:rPr>
        <w:fldChar w:fldCharType="separate"/>
      </w:r>
      <w:r>
        <w:rPr>
          <w:rFonts w:hint="eastAsia" w:ascii="方正黑体_GBK" w:hAnsi="方正黑体_GBK" w:eastAsia="方正黑体_GBK" w:cs="方正黑体_GBK"/>
          <w:b w:val="0"/>
          <w:bCs/>
          <w:sz w:val="28"/>
          <w:szCs w:val="28"/>
          <w:shd w:val="clear" w:color="auto" w:fill="auto"/>
        </w:rPr>
        <w:t>免责声明</w:t>
      </w:r>
      <w:r>
        <w:rPr>
          <w:rFonts w:eastAsia="方正仿宋_GBK"/>
          <w:b w:val="0"/>
          <w:bCs/>
          <w:sz w:val="28"/>
          <w:szCs w:val="28"/>
          <w:shd w:val="clear" w:color="auto" w:fill="auto"/>
        </w:rPr>
        <w:tab/>
      </w:r>
      <w:r>
        <w:rPr>
          <w:rFonts w:eastAsia="方正仿宋_GBK"/>
          <w:b w:val="0"/>
          <w:bCs/>
          <w:sz w:val="28"/>
          <w:szCs w:val="28"/>
          <w:shd w:val="clear" w:color="auto" w:fill="auto"/>
        </w:rPr>
        <w:fldChar w:fldCharType="begin"/>
      </w:r>
      <w:r>
        <w:rPr>
          <w:rFonts w:eastAsia="方正仿宋_GBK"/>
          <w:b w:val="0"/>
          <w:bCs/>
          <w:sz w:val="28"/>
          <w:szCs w:val="28"/>
          <w:shd w:val="clear" w:color="auto" w:fill="auto"/>
        </w:rPr>
        <w:instrText xml:space="preserve"> PAGEREF _Toc1467050632 </w:instrText>
      </w:r>
      <w:r>
        <w:rPr>
          <w:rFonts w:eastAsia="方正仿宋_GBK"/>
          <w:b w:val="0"/>
          <w:bCs/>
          <w:sz w:val="28"/>
          <w:szCs w:val="28"/>
          <w:shd w:val="clear" w:color="auto" w:fill="auto"/>
        </w:rPr>
        <w:fldChar w:fldCharType="separate"/>
      </w:r>
      <w:r>
        <w:rPr>
          <w:rFonts w:eastAsia="方正仿宋_GBK"/>
          <w:b w:val="0"/>
          <w:bCs/>
          <w:sz w:val="28"/>
          <w:szCs w:val="28"/>
          <w:shd w:val="clear" w:color="auto" w:fill="auto"/>
        </w:rPr>
        <w:t>61</w:t>
      </w:r>
      <w:r>
        <w:rPr>
          <w:rFonts w:eastAsia="方正仿宋_GBK"/>
          <w:b w:val="0"/>
          <w:bCs/>
          <w:sz w:val="28"/>
          <w:szCs w:val="28"/>
          <w:shd w:val="clear" w:color="auto" w:fill="auto"/>
        </w:rPr>
        <w:fldChar w:fldCharType="end"/>
      </w:r>
      <w:r>
        <w:rPr>
          <w:rFonts w:hint="eastAsia" w:eastAsia="方正仿宋_GBK" w:cs="方正仿宋_GBK"/>
          <w:b w:val="0"/>
          <w:bCs/>
          <w:sz w:val="28"/>
          <w:szCs w:val="28"/>
          <w:shd w:val="clear" w:color="auto" w:fill="auto"/>
        </w:rPr>
        <w:fldChar w:fldCharType="end"/>
      </w:r>
      <w:r>
        <w:rPr>
          <w:rFonts w:hint="eastAsia" w:eastAsia="方正仿宋_GBK" w:cs="方正仿宋_GBK"/>
          <w:b w:val="0"/>
          <w:bCs/>
          <w:sz w:val="28"/>
          <w:szCs w:val="28"/>
          <w:shd w:val="clear" w:color="auto" w:fill="auto"/>
        </w:rPr>
        <w:fldChar w:fldCharType="end"/>
      </w:r>
      <w:bookmarkStart w:id="51" w:name="_Toc486505238"/>
      <w:bookmarkStart w:id="52" w:name="_Toc452360890"/>
      <w:bookmarkStart w:id="53" w:name="_Toc485023424"/>
      <w:bookmarkStart w:id="54" w:name="_Toc452387733"/>
      <w:bookmarkStart w:id="55" w:name="_Toc488233755"/>
      <w:bookmarkStart w:id="56" w:name="_Toc451426265"/>
      <w:bookmarkStart w:id="57" w:name="_Toc452232991"/>
      <w:bookmarkStart w:id="58" w:name="_Toc450222378"/>
      <w:bookmarkStart w:id="59" w:name="_Toc452106505"/>
      <w:bookmarkStart w:id="60" w:name="_Toc451947824"/>
      <w:bookmarkStart w:id="61" w:name="_Toc450304664"/>
      <w:bookmarkStart w:id="62" w:name="_Toc452452595"/>
      <w:bookmarkStart w:id="63" w:name="_Toc451956761"/>
      <w:bookmarkStart w:id="64" w:name="_Toc450746194"/>
      <w:bookmarkStart w:id="65" w:name="_Toc450746559"/>
      <w:bookmarkStart w:id="66" w:name="_Toc451956581"/>
    </w:p>
    <w:p>
      <w:pPr>
        <w:pStyle w:val="21"/>
        <w:tabs>
          <w:tab w:val="right" w:leader="dot" w:pos="8306"/>
          <w:tab w:val="clear" w:pos="8296"/>
        </w:tabs>
        <w:spacing w:line="360" w:lineRule="exact"/>
        <w:rPr>
          <w:rFonts w:eastAsia="方正仿宋_GBK" w:cs="方正仿宋_GBK"/>
          <w:szCs w:val="28"/>
        </w:rPr>
      </w:pPr>
      <w:r>
        <w:rPr>
          <w:rFonts w:hint="eastAsia" w:eastAsia="方正仿宋_GBK" w:cs="方正仿宋_GBK"/>
          <w:szCs w:val="28"/>
        </w:rPr>
        <w:br w:type="page"/>
      </w:r>
    </w:p>
    <w:p/>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p>
      <w:pPr>
        <w:pStyle w:val="25"/>
        <w:tabs>
          <w:tab w:val="right" w:leader="dot" w:pos="8296"/>
        </w:tabs>
        <w:ind w:left="262" w:leftChars="30" w:hanging="199" w:hangingChars="83"/>
        <w:rPr>
          <w:rStyle w:val="39"/>
          <w:rFonts w:eastAsiaTheme="minorEastAsia"/>
          <w:sz w:val="24"/>
        </w:rPr>
        <w:sectPr>
          <w:headerReference r:id="rId15" w:type="first"/>
          <w:footerReference r:id="rId18" w:type="first"/>
          <w:footerReference r:id="rId16" w:type="default"/>
          <w:headerReference r:id="rId14" w:type="even"/>
          <w:footerReference r:id="rId17" w:type="even"/>
          <w:pgSz w:w="11906" w:h="16838"/>
          <w:pgMar w:top="1984" w:right="1531" w:bottom="1701" w:left="1531" w:header="851" w:footer="992" w:gutter="0"/>
          <w:pgNumType w:fmt="upperRoman" w:start="1"/>
          <w:cols w:space="425" w:num="1"/>
          <w:docGrid w:type="lines" w:linePitch="312" w:charSpace="0"/>
        </w:sectPr>
      </w:pPr>
    </w:p>
    <w:p>
      <w:pPr>
        <w:spacing w:line="560" w:lineRule="exact"/>
        <w:jc w:val="center"/>
        <w:outlineLvl w:val="0"/>
        <w:rPr>
          <w:rFonts w:eastAsia="方正小标宋简体" w:cs="方正小标宋简体"/>
          <w:sz w:val="40"/>
          <w:szCs w:val="40"/>
        </w:rPr>
      </w:pPr>
      <w:bookmarkStart w:id="67" w:name="_Toc136129571"/>
      <w:r>
        <w:rPr>
          <w:rFonts w:hint="eastAsia" w:eastAsia="方正小标宋简体" w:cs="方正小标宋简体"/>
          <w:sz w:val="40"/>
          <w:szCs w:val="40"/>
        </w:rPr>
        <w:t>总报告</w:t>
      </w:r>
      <w:bookmarkEnd w:id="67"/>
    </w:p>
    <w:p>
      <w:pPr>
        <w:autoSpaceDE w:val="0"/>
        <w:autoSpaceDN w:val="0"/>
        <w:adjustRightInd w:val="0"/>
        <w:spacing w:line="560" w:lineRule="exact"/>
        <w:ind w:firstLine="600" w:firstLineChars="200"/>
        <w:rPr>
          <w:rFonts w:eastAsia="方正仿宋_GBK"/>
          <w:kern w:val="0"/>
          <w:sz w:val="30"/>
          <w:szCs w:val="30"/>
        </w:rPr>
      </w:pP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互联网已成为当代未成年人重要的学习、社交、娱乐工具，对其成长产生深刻影响。2018年起，共青团中央维护青少年权益部、中国互联网络信息中心（CNNIC）每年对未成年人互联网使用情况开展调查，并发布《全国未成年人互联网使用情况研究报告》，力求全面、客观地反映我国未成年人互联网使用特点和网上生活状态。</w:t>
      </w: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本次调查延续此前的研究框架，在各级共青团和学校大力支持下，共回收有效问卷4</w:t>
      </w:r>
      <w:r>
        <w:rPr>
          <w:rFonts w:eastAsia="方正仿宋_GBK"/>
          <w:kern w:val="0"/>
          <w:sz w:val="30"/>
          <w:szCs w:val="30"/>
        </w:rPr>
        <w:t>1</w:t>
      </w:r>
      <w:r>
        <w:rPr>
          <w:rFonts w:hint="eastAsia" w:eastAsia="方正仿宋_GBK"/>
          <w:kern w:val="0"/>
          <w:sz w:val="30"/>
          <w:szCs w:val="30"/>
        </w:rPr>
        <w:t>,</w:t>
      </w:r>
      <w:r>
        <w:rPr>
          <w:rFonts w:eastAsia="方正仿宋_GBK"/>
          <w:kern w:val="0"/>
          <w:sz w:val="30"/>
          <w:szCs w:val="30"/>
        </w:rPr>
        <w:t>264</w:t>
      </w:r>
      <w:r>
        <w:rPr>
          <w:rFonts w:hint="eastAsia" w:eastAsia="方正仿宋_GBK"/>
          <w:kern w:val="0"/>
          <w:sz w:val="30"/>
          <w:szCs w:val="30"/>
        </w:rPr>
        <w:t>份（含2</w:t>
      </w:r>
      <w:r>
        <w:rPr>
          <w:rFonts w:eastAsia="方正仿宋_GBK"/>
          <w:kern w:val="0"/>
          <w:sz w:val="30"/>
          <w:szCs w:val="30"/>
        </w:rPr>
        <w:t>6</w:t>
      </w:r>
      <w:r>
        <w:rPr>
          <w:rFonts w:hint="eastAsia" w:eastAsia="方正仿宋_GBK"/>
          <w:kern w:val="0"/>
          <w:sz w:val="30"/>
          <w:szCs w:val="30"/>
        </w:rPr>
        <w:t>,</w:t>
      </w:r>
      <w:r>
        <w:rPr>
          <w:rFonts w:eastAsia="方正仿宋_GBK"/>
          <w:kern w:val="0"/>
          <w:sz w:val="30"/>
          <w:szCs w:val="30"/>
        </w:rPr>
        <w:t>349</w:t>
      </w:r>
      <w:r>
        <w:rPr>
          <w:rFonts w:hint="eastAsia" w:eastAsia="方正仿宋_GBK"/>
          <w:kern w:val="0"/>
          <w:sz w:val="30"/>
          <w:szCs w:val="30"/>
        </w:rPr>
        <w:t>份未成年人问卷、</w:t>
      </w:r>
      <w:r>
        <w:rPr>
          <w:rFonts w:eastAsia="方正仿宋_GBK"/>
          <w:kern w:val="0"/>
          <w:sz w:val="30"/>
          <w:szCs w:val="30"/>
        </w:rPr>
        <w:t>13</w:t>
      </w:r>
      <w:r>
        <w:rPr>
          <w:rFonts w:hint="eastAsia" w:eastAsia="方正仿宋_GBK"/>
          <w:kern w:val="0"/>
          <w:sz w:val="30"/>
          <w:szCs w:val="30"/>
        </w:rPr>
        <w:t>,</w:t>
      </w:r>
      <w:r>
        <w:rPr>
          <w:rFonts w:eastAsia="方正仿宋_GBK"/>
          <w:kern w:val="0"/>
          <w:sz w:val="30"/>
          <w:szCs w:val="30"/>
        </w:rPr>
        <w:t>283</w:t>
      </w:r>
      <w:r>
        <w:rPr>
          <w:rFonts w:hint="eastAsia" w:eastAsia="方正仿宋_GBK"/>
          <w:kern w:val="0"/>
          <w:sz w:val="30"/>
          <w:szCs w:val="30"/>
        </w:rPr>
        <w:t>份家长问卷、1,</w:t>
      </w:r>
      <w:r>
        <w:rPr>
          <w:rFonts w:eastAsia="方正仿宋_GBK"/>
          <w:kern w:val="0"/>
          <w:sz w:val="30"/>
          <w:szCs w:val="30"/>
        </w:rPr>
        <w:t>632</w:t>
      </w:r>
      <w:r>
        <w:rPr>
          <w:rFonts w:hint="eastAsia" w:eastAsia="方正仿宋_GBK"/>
          <w:kern w:val="0"/>
          <w:sz w:val="30"/>
          <w:szCs w:val="30"/>
        </w:rPr>
        <w:t>份教师问卷），覆盖31个省（自治区、直辖市）的小学、初中、高中及中等职业学校学生。报告聚焦未成年人互联网普及、网络接入环境、网络使用特点、教育监管、网络安全与权益保护等方面情况，重点研判未成年人互联网使用趋势变化和存在的问题，有针对性地提出工作建议。</w:t>
      </w:r>
    </w:p>
    <w:p>
      <w:pPr>
        <w:pStyle w:val="50"/>
        <w:spacing w:line="560" w:lineRule="exact"/>
        <w:ind w:firstLine="600"/>
        <w:outlineLvl w:val="1"/>
        <w:rPr>
          <w:rFonts w:eastAsia="方正黑体_GBK" w:cs="方正黑体_GBK"/>
          <w:bCs/>
          <w:sz w:val="30"/>
          <w:szCs w:val="30"/>
        </w:rPr>
      </w:pPr>
      <w:bookmarkStart w:id="68" w:name="_Toc1731603319"/>
      <w:r>
        <w:rPr>
          <w:rFonts w:hint="eastAsia" w:eastAsia="方正黑体_GBK" w:cs="方正黑体_GBK"/>
          <w:bCs/>
          <w:sz w:val="30"/>
          <w:szCs w:val="30"/>
        </w:rPr>
        <w:t>一、核心数据</w:t>
      </w:r>
      <w:bookmarkEnd w:id="68"/>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 xml:space="preserve">1. </w:t>
      </w:r>
      <w:r>
        <w:rPr>
          <w:rFonts w:hint="eastAsia" w:eastAsia="方正楷体_GBK" w:cs="方正楷体_GBK"/>
          <w:kern w:val="0"/>
          <w:sz w:val="30"/>
          <w:szCs w:val="30"/>
        </w:rPr>
        <w:t>互联网普及情况</w:t>
      </w:r>
    </w:p>
    <w:p>
      <w:pPr>
        <w:pStyle w:val="50"/>
        <w:numPr>
          <w:ilvl w:val="0"/>
          <w:numId w:val="1"/>
        </w:numPr>
        <w:spacing w:line="560" w:lineRule="exact"/>
        <w:ind w:firstLineChars="0"/>
        <w:rPr>
          <w:rFonts w:eastAsia="方正仿宋_GBK"/>
          <w:sz w:val="30"/>
          <w:szCs w:val="30"/>
        </w:rPr>
      </w:pPr>
      <w:r>
        <w:rPr>
          <w:rFonts w:hint="eastAsia" w:eastAsia="方正仿宋_GBK"/>
          <w:kern w:val="0"/>
          <w:sz w:val="30"/>
          <w:szCs w:val="30"/>
        </w:rPr>
        <w:t>2</w:t>
      </w:r>
      <w:r>
        <w:rPr>
          <w:rFonts w:eastAsia="方正仿宋_GBK"/>
          <w:kern w:val="0"/>
          <w:sz w:val="30"/>
          <w:szCs w:val="30"/>
        </w:rPr>
        <w:t>021</w:t>
      </w:r>
      <w:r>
        <w:rPr>
          <w:rFonts w:hint="eastAsia" w:eastAsia="方正仿宋_GBK"/>
          <w:kern w:val="0"/>
          <w:sz w:val="30"/>
          <w:szCs w:val="30"/>
        </w:rPr>
        <w:t>年</w:t>
      </w:r>
      <w:r>
        <w:rPr>
          <w:rFonts w:hint="eastAsia" w:eastAsia="方正仿宋_GBK"/>
          <w:sz w:val="30"/>
          <w:szCs w:val="30"/>
        </w:rPr>
        <w:t>我国未成年网民规模</w:t>
      </w:r>
      <w:r>
        <w:rPr>
          <w:rStyle w:val="41"/>
          <w:rFonts w:eastAsia="方正仿宋_GBK"/>
          <w:sz w:val="30"/>
          <w:szCs w:val="30"/>
        </w:rPr>
        <w:footnoteReference w:id="0"/>
      </w:r>
      <w:r>
        <w:rPr>
          <w:rFonts w:hint="eastAsia" w:eastAsia="方正仿宋_GBK"/>
          <w:sz w:val="30"/>
          <w:szCs w:val="30"/>
        </w:rPr>
        <w:t>达1.</w:t>
      </w:r>
      <w:r>
        <w:rPr>
          <w:rFonts w:eastAsia="方正仿宋_GBK"/>
          <w:sz w:val="30"/>
          <w:szCs w:val="30"/>
        </w:rPr>
        <w:t>91</w:t>
      </w:r>
      <w:r>
        <w:rPr>
          <w:rFonts w:hint="eastAsia" w:eastAsia="方正仿宋_GBK"/>
          <w:sz w:val="30"/>
          <w:szCs w:val="30"/>
        </w:rPr>
        <w:t>亿，未成年人互联网普及率达9</w:t>
      </w:r>
      <w:r>
        <w:rPr>
          <w:rFonts w:eastAsia="方正仿宋_GBK"/>
          <w:sz w:val="30"/>
          <w:szCs w:val="30"/>
        </w:rPr>
        <w:t>6.8</w:t>
      </w:r>
      <w:r>
        <w:rPr>
          <w:rFonts w:hint="eastAsia" w:eastAsia="方正仿宋_GBK"/>
          <w:sz w:val="30"/>
          <w:szCs w:val="30"/>
        </w:rPr>
        <w:t>%</w:t>
      </w:r>
      <w:r>
        <w:rPr>
          <w:rStyle w:val="41"/>
          <w:rFonts w:eastAsia="方正仿宋_GBK"/>
          <w:sz w:val="30"/>
          <w:szCs w:val="30"/>
        </w:rPr>
        <w:footnoteReference w:id="1"/>
      </w:r>
      <w:r>
        <w:rPr>
          <w:rFonts w:hint="eastAsia" w:eastAsia="方正仿宋_GBK"/>
          <w:sz w:val="30"/>
          <w:szCs w:val="30"/>
        </w:rPr>
        <w:t>。</w:t>
      </w:r>
    </w:p>
    <w:p>
      <w:pPr>
        <w:pStyle w:val="50"/>
        <w:numPr>
          <w:ilvl w:val="0"/>
          <w:numId w:val="1"/>
        </w:numPr>
        <w:spacing w:line="560" w:lineRule="exact"/>
        <w:ind w:firstLineChars="0"/>
        <w:rPr>
          <w:rFonts w:eastAsia="方正仿宋_GBK"/>
          <w:sz w:val="30"/>
          <w:szCs w:val="30"/>
        </w:rPr>
      </w:pPr>
      <w:r>
        <w:rPr>
          <w:rFonts w:hint="eastAsia" w:eastAsia="方正仿宋_GBK"/>
          <w:sz w:val="30"/>
          <w:szCs w:val="30"/>
        </w:rPr>
        <w:t>2021年我国城镇未成年人互联网普及率为96.7%，农村未成年人互联网普及率为97.3%；</w:t>
      </w:r>
      <w:r>
        <w:rPr>
          <w:rFonts w:hint="eastAsia" w:eastAsia="方正仿宋_GBK"/>
          <w:kern w:val="0"/>
          <w:sz w:val="30"/>
          <w:szCs w:val="30"/>
        </w:rPr>
        <w:t>小学阶段，城镇未成年人互联网普及率比农村高0.8个百分点，初中开始，农村未成年人互联网普及率</w:t>
      </w:r>
      <w:r>
        <w:rPr>
          <w:rFonts w:hint="eastAsia" w:eastAsia="方正仿宋_GBK"/>
          <w:kern w:val="0"/>
          <w:sz w:val="30"/>
          <w:szCs w:val="30"/>
          <w:lang w:eastAsia="zh-CN"/>
        </w:rPr>
        <w:t>略</w:t>
      </w:r>
      <w:r>
        <w:rPr>
          <w:rFonts w:hint="eastAsia" w:eastAsia="方正仿宋_GBK"/>
          <w:kern w:val="0"/>
          <w:sz w:val="30"/>
          <w:szCs w:val="30"/>
        </w:rPr>
        <w:t>高于城镇。</w:t>
      </w:r>
    </w:p>
    <w:p>
      <w:pPr>
        <w:pStyle w:val="50"/>
        <w:numPr>
          <w:ilvl w:val="0"/>
          <w:numId w:val="1"/>
        </w:numPr>
        <w:spacing w:line="560" w:lineRule="exact"/>
        <w:ind w:firstLineChars="0"/>
        <w:rPr>
          <w:rFonts w:eastAsia="方正仿宋_GBK"/>
          <w:sz w:val="30"/>
          <w:szCs w:val="30"/>
        </w:rPr>
      </w:pPr>
      <w:r>
        <w:rPr>
          <w:rFonts w:hint="eastAsia" w:eastAsia="方正仿宋_GBK"/>
          <w:sz w:val="30"/>
          <w:szCs w:val="30"/>
        </w:rPr>
        <w:t>2021年我国小学生互联网普及率达9</w:t>
      </w:r>
      <w:r>
        <w:rPr>
          <w:rFonts w:eastAsia="方正仿宋_GBK"/>
          <w:sz w:val="30"/>
          <w:szCs w:val="30"/>
        </w:rPr>
        <w:t>5.0</w:t>
      </w:r>
      <w:r>
        <w:rPr>
          <w:rFonts w:hint="eastAsia" w:eastAsia="方正仿宋_GBK"/>
          <w:sz w:val="30"/>
          <w:szCs w:val="30"/>
        </w:rPr>
        <w:t>%，较2</w:t>
      </w:r>
      <w:r>
        <w:rPr>
          <w:rFonts w:eastAsia="方正仿宋_GBK"/>
          <w:sz w:val="30"/>
          <w:szCs w:val="30"/>
        </w:rPr>
        <w:t>020</w:t>
      </w:r>
      <w:r>
        <w:rPr>
          <w:rFonts w:hint="eastAsia" w:eastAsia="方正仿宋_GBK"/>
          <w:sz w:val="30"/>
          <w:szCs w:val="30"/>
        </w:rPr>
        <w:t>年提升2</w:t>
      </w:r>
      <w:r>
        <w:rPr>
          <w:rFonts w:eastAsia="方正仿宋_GBK"/>
          <w:sz w:val="30"/>
          <w:szCs w:val="30"/>
        </w:rPr>
        <w:t>.9</w:t>
      </w:r>
      <w:r>
        <w:rPr>
          <w:rFonts w:hint="eastAsia" w:eastAsia="方正仿宋_GBK"/>
          <w:sz w:val="30"/>
          <w:szCs w:val="30"/>
        </w:rPr>
        <w:t>个百分点，未成年人触网低龄化趋势明显。</w:t>
      </w:r>
    </w:p>
    <w:p>
      <w:pPr>
        <w:autoSpaceDE w:val="0"/>
        <w:autoSpaceDN w:val="0"/>
        <w:adjustRightInd w:val="0"/>
        <w:spacing w:line="560" w:lineRule="exact"/>
        <w:ind w:firstLine="600" w:firstLineChars="200"/>
        <w:rPr>
          <w:rFonts w:eastAsia="方正楷体_GBK" w:cs="方正楷体_GBK"/>
          <w:kern w:val="0"/>
          <w:sz w:val="30"/>
          <w:szCs w:val="30"/>
        </w:rPr>
      </w:pPr>
      <w:r>
        <w:rPr>
          <w:rFonts w:hint="eastAsia" w:eastAsia="方正仿宋_GBK"/>
          <w:kern w:val="0"/>
          <w:sz w:val="30"/>
          <w:szCs w:val="30"/>
        </w:rPr>
        <w:t xml:space="preserve">2. </w:t>
      </w:r>
      <w:r>
        <w:rPr>
          <w:rFonts w:hint="eastAsia" w:eastAsia="方正楷体_GBK" w:cs="方正楷体_GBK"/>
          <w:kern w:val="0"/>
          <w:sz w:val="30"/>
          <w:szCs w:val="30"/>
        </w:rPr>
        <w:t>互联网接入环境</w:t>
      </w:r>
    </w:p>
    <w:p>
      <w:pPr>
        <w:pStyle w:val="50"/>
        <w:numPr>
          <w:ilvl w:val="0"/>
          <w:numId w:val="1"/>
        </w:numPr>
        <w:spacing w:line="560" w:lineRule="exact"/>
        <w:ind w:firstLineChars="0"/>
        <w:rPr>
          <w:rFonts w:eastAsia="方正仿宋_GBK"/>
          <w:sz w:val="30"/>
          <w:szCs w:val="30"/>
        </w:rPr>
      </w:pPr>
      <w:r>
        <w:rPr>
          <w:rFonts w:hint="eastAsia" w:eastAsia="方正仿宋_GBK"/>
          <w:sz w:val="30"/>
          <w:szCs w:val="30"/>
        </w:rPr>
        <w:t>未成年网民</w:t>
      </w:r>
      <w:r>
        <w:rPr>
          <w:rStyle w:val="41"/>
          <w:rFonts w:hint="eastAsia" w:eastAsia="方正仿宋_GBK"/>
          <w:sz w:val="30"/>
          <w:szCs w:val="30"/>
        </w:rPr>
        <w:footnoteReference w:id="2"/>
      </w:r>
      <w:r>
        <w:rPr>
          <w:rFonts w:hint="eastAsia" w:eastAsia="方正仿宋_GBK"/>
          <w:sz w:val="30"/>
          <w:szCs w:val="30"/>
        </w:rPr>
        <w:t>中，使用</w:t>
      </w:r>
      <w:r>
        <w:rPr>
          <w:rFonts w:hint="eastAsia" w:eastAsia="方正仿宋_GBK"/>
          <w:kern w:val="0"/>
          <w:sz w:val="30"/>
          <w:szCs w:val="30"/>
        </w:rPr>
        <w:t>手机上网的比例为90.7%，使用</w:t>
      </w:r>
      <w:r>
        <w:rPr>
          <w:rFonts w:hint="eastAsia" w:eastAsia="方正仿宋_GBK"/>
          <w:sz w:val="30"/>
          <w:szCs w:val="30"/>
        </w:rPr>
        <w:t>智能台灯、智能音箱、词典笔等新型上网设备的比例为21.7%、19.9%和16.4%。</w:t>
      </w:r>
    </w:p>
    <w:p>
      <w:pPr>
        <w:pStyle w:val="50"/>
        <w:numPr>
          <w:ilvl w:val="0"/>
          <w:numId w:val="1"/>
        </w:numPr>
        <w:spacing w:line="560" w:lineRule="exact"/>
        <w:ind w:firstLineChars="0"/>
        <w:rPr>
          <w:rFonts w:eastAsia="方正仿宋_GBK"/>
          <w:sz w:val="30"/>
          <w:szCs w:val="30"/>
        </w:rPr>
      </w:pPr>
      <w:r>
        <w:rPr>
          <w:rFonts w:hint="eastAsia" w:eastAsia="方正仿宋_GBK"/>
          <w:sz w:val="30"/>
          <w:szCs w:val="30"/>
        </w:rPr>
        <w:t>未成年网民中，拥有属于自己的上网设备的比例为</w:t>
      </w:r>
      <w:r>
        <w:rPr>
          <w:rFonts w:eastAsia="方正仿宋_GBK"/>
          <w:sz w:val="30"/>
          <w:szCs w:val="30"/>
        </w:rPr>
        <w:t>86.7</w:t>
      </w:r>
      <w:r>
        <w:rPr>
          <w:rFonts w:hint="eastAsia" w:eastAsia="方正仿宋_GBK"/>
          <w:sz w:val="30"/>
          <w:szCs w:val="30"/>
        </w:rPr>
        <w:t>%，较2020年提升3.8个百分点。</w:t>
      </w:r>
    </w:p>
    <w:p>
      <w:pPr>
        <w:pStyle w:val="50"/>
        <w:numPr>
          <w:ilvl w:val="0"/>
          <w:numId w:val="1"/>
        </w:numPr>
        <w:spacing w:line="560" w:lineRule="exact"/>
        <w:ind w:firstLineChars="0"/>
        <w:rPr>
          <w:rFonts w:eastAsia="方正仿宋_GBK"/>
          <w:sz w:val="30"/>
          <w:szCs w:val="30"/>
        </w:rPr>
      </w:pPr>
      <w:r>
        <w:rPr>
          <w:rFonts w:hint="eastAsia" w:eastAsia="方正仿宋_GBK"/>
          <w:kern w:val="0"/>
          <w:sz w:val="30"/>
          <w:szCs w:val="30"/>
        </w:rPr>
        <w:t>66.0%的未成年网民工作日平均每天上网时长在半小时以内，51.8%的未成年网民节假日平均每天上网时长在1小时以内；工作日日均上网2小时以上的比例为8.7%，节假日日均上网在5小时以上的比例为9.9%，较2020年均有2—3个百分点的下降。</w:t>
      </w:r>
    </w:p>
    <w:p>
      <w:pPr>
        <w:pStyle w:val="50"/>
        <w:numPr>
          <w:ilvl w:val="0"/>
          <w:numId w:val="1"/>
        </w:numPr>
        <w:spacing w:line="560" w:lineRule="exact"/>
        <w:ind w:firstLineChars="0"/>
        <w:rPr>
          <w:rFonts w:eastAsia="方正仿宋_GBK"/>
          <w:sz w:val="30"/>
          <w:szCs w:val="30"/>
        </w:rPr>
      </w:pPr>
      <w:r>
        <w:rPr>
          <w:rFonts w:hint="eastAsia" w:eastAsia="方正仿宋_GBK"/>
          <w:sz w:val="30"/>
          <w:szCs w:val="30"/>
        </w:rPr>
        <w:t>未成年网民中，认为自己非常依赖或比较依赖互联网的比例为1</w:t>
      </w:r>
      <w:r>
        <w:rPr>
          <w:rFonts w:eastAsia="方正仿宋_GBK"/>
          <w:sz w:val="30"/>
          <w:szCs w:val="30"/>
        </w:rPr>
        <w:t>9.5</w:t>
      </w:r>
      <w:r>
        <w:rPr>
          <w:rFonts w:hint="eastAsia" w:eastAsia="方正仿宋_GBK"/>
          <w:sz w:val="30"/>
          <w:szCs w:val="30"/>
        </w:rPr>
        <w:t>%，较2020年下降0.1个百分点；认为自己对互联网没有依赖心理的比例为42.0%，较2020年提升3.3个百分点。</w:t>
      </w:r>
    </w:p>
    <w:p>
      <w:pPr>
        <w:autoSpaceDE w:val="0"/>
        <w:autoSpaceDN w:val="0"/>
        <w:adjustRightInd w:val="0"/>
        <w:spacing w:line="560" w:lineRule="exact"/>
        <w:ind w:firstLine="600" w:firstLineChars="200"/>
        <w:rPr>
          <w:rFonts w:eastAsia="方正楷体_GBK" w:cs="方正楷体_GBK"/>
          <w:kern w:val="0"/>
          <w:sz w:val="30"/>
          <w:szCs w:val="30"/>
        </w:rPr>
      </w:pPr>
      <w:r>
        <w:rPr>
          <w:rFonts w:hint="eastAsia" w:eastAsia="方正仿宋_GBK"/>
          <w:sz w:val="30"/>
          <w:szCs w:val="30"/>
        </w:rPr>
        <w:t xml:space="preserve">3. </w:t>
      </w:r>
      <w:r>
        <w:rPr>
          <w:rFonts w:hint="eastAsia" w:eastAsia="方正楷体_GBK" w:cs="方正楷体_GBK"/>
          <w:kern w:val="0"/>
          <w:sz w:val="30"/>
          <w:szCs w:val="30"/>
        </w:rPr>
        <w:t>互联网使用情况</w:t>
      </w:r>
    </w:p>
    <w:p>
      <w:pPr>
        <w:pStyle w:val="50"/>
        <w:numPr>
          <w:ilvl w:val="0"/>
          <w:numId w:val="1"/>
        </w:numPr>
        <w:spacing w:line="560" w:lineRule="exact"/>
        <w:ind w:firstLineChars="0"/>
        <w:rPr>
          <w:rFonts w:eastAsia="方正仿宋_GBK"/>
          <w:sz w:val="30"/>
          <w:szCs w:val="30"/>
        </w:rPr>
      </w:pPr>
      <w:r>
        <w:rPr>
          <w:rFonts w:hint="eastAsia" w:eastAsia="方正仿宋_GBK"/>
          <w:sz w:val="30"/>
          <w:szCs w:val="30"/>
        </w:rPr>
        <w:t>未成年网民中，经常利用互联网进行学习</w:t>
      </w:r>
      <w:r>
        <w:rPr>
          <w:rStyle w:val="41"/>
          <w:rFonts w:eastAsia="方正仿宋_GBK"/>
          <w:sz w:val="30"/>
          <w:szCs w:val="30"/>
        </w:rPr>
        <w:footnoteReference w:id="3"/>
      </w:r>
      <w:r>
        <w:rPr>
          <w:rFonts w:hint="eastAsia" w:eastAsia="方正仿宋_GBK"/>
          <w:sz w:val="30"/>
          <w:szCs w:val="30"/>
        </w:rPr>
        <w:t>的比例为8</w:t>
      </w:r>
      <w:r>
        <w:rPr>
          <w:rFonts w:eastAsia="方正仿宋_GBK"/>
          <w:sz w:val="30"/>
          <w:szCs w:val="30"/>
        </w:rPr>
        <w:t>8.9</w:t>
      </w:r>
      <w:r>
        <w:rPr>
          <w:rFonts w:hint="eastAsia" w:eastAsia="方正仿宋_GBK"/>
          <w:sz w:val="30"/>
          <w:szCs w:val="30"/>
        </w:rPr>
        <w:t>%，较2020年下降1.0个百分点。</w:t>
      </w:r>
    </w:p>
    <w:p>
      <w:pPr>
        <w:pStyle w:val="50"/>
        <w:numPr>
          <w:ilvl w:val="0"/>
          <w:numId w:val="1"/>
        </w:numPr>
        <w:spacing w:line="560" w:lineRule="exact"/>
        <w:ind w:firstLineChars="0"/>
        <w:rPr>
          <w:rFonts w:eastAsia="方正仿宋_GBK"/>
          <w:sz w:val="30"/>
          <w:szCs w:val="30"/>
        </w:rPr>
      </w:pPr>
      <w:r>
        <w:rPr>
          <w:rFonts w:hint="eastAsia" w:eastAsia="方正仿宋_GBK"/>
          <w:sz w:val="30"/>
          <w:szCs w:val="30"/>
        </w:rPr>
        <w:t>未成年网民中，经常在网上玩游戏的比例为6</w:t>
      </w:r>
      <w:r>
        <w:rPr>
          <w:rFonts w:eastAsia="方正仿宋_GBK"/>
          <w:sz w:val="30"/>
          <w:szCs w:val="30"/>
        </w:rPr>
        <w:t>2.3</w:t>
      </w:r>
      <w:r>
        <w:rPr>
          <w:rFonts w:hint="eastAsia" w:eastAsia="方正仿宋_GBK"/>
          <w:sz w:val="30"/>
          <w:szCs w:val="30"/>
        </w:rPr>
        <w:t>%，较2020年下降0.2个百分点。</w:t>
      </w:r>
    </w:p>
    <w:p>
      <w:pPr>
        <w:pStyle w:val="50"/>
        <w:numPr>
          <w:ilvl w:val="0"/>
          <w:numId w:val="1"/>
        </w:numPr>
        <w:spacing w:line="560" w:lineRule="exact"/>
        <w:ind w:firstLineChars="0"/>
        <w:rPr>
          <w:rFonts w:eastAsia="方正仿宋_GBK"/>
          <w:sz w:val="30"/>
          <w:szCs w:val="30"/>
        </w:rPr>
      </w:pPr>
      <w:r>
        <w:rPr>
          <w:rFonts w:hint="eastAsia" w:eastAsia="方正仿宋_GBK"/>
          <w:sz w:val="30"/>
          <w:szCs w:val="30"/>
        </w:rPr>
        <w:t>未成年网民中，经常在互联网上看短视频的比例为4</w:t>
      </w:r>
      <w:r>
        <w:rPr>
          <w:rFonts w:eastAsia="方正仿宋_GBK"/>
          <w:sz w:val="30"/>
          <w:szCs w:val="30"/>
        </w:rPr>
        <w:t>7.6</w:t>
      </w:r>
      <w:r>
        <w:rPr>
          <w:rFonts w:hint="eastAsia" w:eastAsia="方正仿宋_GBK"/>
          <w:sz w:val="30"/>
          <w:szCs w:val="30"/>
        </w:rPr>
        <w:t>%，较2020年下降1.7个百分点。</w:t>
      </w:r>
    </w:p>
    <w:p>
      <w:pPr>
        <w:pStyle w:val="50"/>
        <w:numPr>
          <w:ilvl w:val="0"/>
          <w:numId w:val="1"/>
        </w:numPr>
        <w:spacing w:line="560" w:lineRule="exact"/>
        <w:ind w:firstLineChars="0"/>
        <w:rPr>
          <w:rFonts w:eastAsia="方正仿宋_GBK"/>
          <w:sz w:val="30"/>
          <w:szCs w:val="30"/>
        </w:rPr>
      </w:pPr>
      <w:r>
        <w:rPr>
          <w:rFonts w:hint="eastAsia" w:eastAsia="方正仿宋_GBK"/>
          <w:sz w:val="30"/>
          <w:szCs w:val="30"/>
        </w:rPr>
        <w:t>未成年网民中，经常参与网上粉丝应援行为的比例为5</w:t>
      </w:r>
      <w:r>
        <w:rPr>
          <w:rFonts w:eastAsia="方正仿宋_GBK"/>
          <w:sz w:val="30"/>
          <w:szCs w:val="30"/>
        </w:rPr>
        <w:t>.4</w:t>
      </w:r>
      <w:r>
        <w:rPr>
          <w:rFonts w:hint="eastAsia" w:eastAsia="方正仿宋_GBK"/>
          <w:sz w:val="30"/>
          <w:szCs w:val="30"/>
        </w:rPr>
        <w:t>%，较2</w:t>
      </w:r>
      <w:r>
        <w:rPr>
          <w:rFonts w:eastAsia="方正仿宋_GBK"/>
          <w:sz w:val="30"/>
          <w:szCs w:val="30"/>
        </w:rPr>
        <w:t>020</w:t>
      </w:r>
      <w:r>
        <w:rPr>
          <w:rFonts w:hint="eastAsia" w:eastAsia="方正仿宋_GBK"/>
          <w:sz w:val="30"/>
          <w:szCs w:val="30"/>
        </w:rPr>
        <w:t>年下降2</w:t>
      </w:r>
      <w:r>
        <w:rPr>
          <w:rFonts w:eastAsia="方正仿宋_GBK"/>
          <w:sz w:val="30"/>
          <w:szCs w:val="30"/>
        </w:rPr>
        <w:t>.6</w:t>
      </w:r>
      <w:r>
        <w:rPr>
          <w:rFonts w:hint="eastAsia" w:eastAsia="方正仿宋_GBK"/>
          <w:sz w:val="30"/>
          <w:szCs w:val="30"/>
        </w:rPr>
        <w:t>个百分点。</w:t>
      </w:r>
    </w:p>
    <w:p>
      <w:pPr>
        <w:autoSpaceDE w:val="0"/>
        <w:autoSpaceDN w:val="0"/>
        <w:adjustRightInd w:val="0"/>
        <w:spacing w:line="560" w:lineRule="exact"/>
        <w:ind w:firstLine="600" w:firstLineChars="200"/>
        <w:rPr>
          <w:rFonts w:eastAsia="方正楷体_GBK" w:cs="方正楷体_GBK"/>
          <w:kern w:val="0"/>
          <w:sz w:val="30"/>
          <w:szCs w:val="30"/>
        </w:rPr>
      </w:pPr>
      <w:r>
        <w:rPr>
          <w:rFonts w:hint="eastAsia" w:eastAsia="方正仿宋_GBK"/>
          <w:sz w:val="30"/>
          <w:szCs w:val="30"/>
        </w:rPr>
        <w:t xml:space="preserve">4. </w:t>
      </w:r>
      <w:r>
        <w:rPr>
          <w:rFonts w:hint="eastAsia" w:eastAsia="方正楷体_GBK" w:cs="方正楷体_GBK"/>
          <w:kern w:val="0"/>
          <w:sz w:val="30"/>
          <w:szCs w:val="30"/>
        </w:rPr>
        <w:t>未成年人上网的教育与管理情况</w:t>
      </w:r>
    </w:p>
    <w:p>
      <w:pPr>
        <w:pStyle w:val="50"/>
        <w:numPr>
          <w:ilvl w:val="0"/>
          <w:numId w:val="1"/>
        </w:numPr>
        <w:spacing w:line="560" w:lineRule="exact"/>
        <w:ind w:firstLineChars="0"/>
        <w:rPr>
          <w:rFonts w:eastAsia="方正仿宋_GBK"/>
          <w:sz w:val="30"/>
          <w:szCs w:val="30"/>
        </w:rPr>
      </w:pPr>
      <w:r>
        <w:rPr>
          <w:rFonts w:hint="eastAsia" w:eastAsia="方正仿宋_GBK"/>
          <w:sz w:val="30"/>
          <w:szCs w:val="30"/>
        </w:rPr>
        <w:t>91.2%的家长会对子女进行一定程度的网络安全教育，8</w:t>
      </w:r>
      <w:r>
        <w:rPr>
          <w:rFonts w:eastAsia="方正仿宋_GBK"/>
          <w:sz w:val="30"/>
          <w:szCs w:val="30"/>
        </w:rPr>
        <w:t>4.6</w:t>
      </w:r>
      <w:r>
        <w:rPr>
          <w:rFonts w:hint="eastAsia" w:eastAsia="方正仿宋_GBK"/>
          <w:sz w:val="30"/>
          <w:szCs w:val="30"/>
        </w:rPr>
        <w:t>%的教师表示学校为学生设置了网络安全教育课程。</w:t>
      </w:r>
    </w:p>
    <w:p>
      <w:pPr>
        <w:pStyle w:val="50"/>
        <w:numPr>
          <w:ilvl w:val="0"/>
          <w:numId w:val="1"/>
        </w:numPr>
        <w:spacing w:line="560" w:lineRule="exact"/>
        <w:ind w:firstLineChars="0"/>
        <w:rPr>
          <w:rFonts w:eastAsia="方正仿宋_GBK"/>
          <w:sz w:val="30"/>
          <w:szCs w:val="30"/>
        </w:rPr>
      </w:pPr>
      <w:r>
        <w:rPr>
          <w:rFonts w:hint="eastAsia" w:eastAsia="方正仿宋_GBK"/>
          <w:sz w:val="30"/>
          <w:szCs w:val="30"/>
        </w:rPr>
        <w:t>54.0%的家长要求孩子的上网行为必须在自己的监督之下，79.7%的家长会与孩子进行约定，并允许孩子适度上网娱乐。</w:t>
      </w:r>
    </w:p>
    <w:p>
      <w:pPr>
        <w:pStyle w:val="50"/>
        <w:numPr>
          <w:ilvl w:val="0"/>
          <w:numId w:val="1"/>
        </w:numPr>
        <w:spacing w:line="560" w:lineRule="exact"/>
        <w:ind w:firstLineChars="0"/>
        <w:rPr>
          <w:rFonts w:eastAsia="方正仿宋_GBK"/>
          <w:sz w:val="30"/>
          <w:szCs w:val="30"/>
        </w:rPr>
      </w:pPr>
      <w:r>
        <w:rPr>
          <w:rFonts w:hint="eastAsia" w:eastAsia="方正仿宋_GBK"/>
          <w:sz w:val="30"/>
          <w:szCs w:val="30"/>
        </w:rPr>
        <w:t>未成年网民中，设置过青少年模式的比例为48.2%；给孩子设置过青少年模式的家长比例为47.3%。</w:t>
      </w:r>
    </w:p>
    <w:p>
      <w:pPr>
        <w:autoSpaceDE w:val="0"/>
        <w:autoSpaceDN w:val="0"/>
        <w:adjustRightInd w:val="0"/>
        <w:spacing w:line="560" w:lineRule="exact"/>
        <w:ind w:firstLine="600" w:firstLineChars="200"/>
        <w:rPr>
          <w:rFonts w:eastAsia="方正楷体_GBK" w:cs="方正楷体_GBK"/>
          <w:kern w:val="0"/>
          <w:sz w:val="30"/>
          <w:szCs w:val="30"/>
        </w:rPr>
      </w:pPr>
      <w:r>
        <w:rPr>
          <w:rFonts w:hint="eastAsia" w:eastAsia="方正仿宋_GBK"/>
          <w:sz w:val="30"/>
          <w:szCs w:val="30"/>
        </w:rPr>
        <w:t xml:space="preserve">5. </w:t>
      </w:r>
      <w:r>
        <w:rPr>
          <w:rFonts w:hint="eastAsia" w:eastAsia="方正楷体_GBK" w:cs="方正楷体_GBK"/>
          <w:kern w:val="0"/>
          <w:sz w:val="30"/>
          <w:szCs w:val="30"/>
        </w:rPr>
        <w:t>未成年人网络安全与防护情况</w:t>
      </w:r>
    </w:p>
    <w:p>
      <w:pPr>
        <w:pStyle w:val="50"/>
        <w:numPr>
          <w:ilvl w:val="0"/>
          <w:numId w:val="1"/>
        </w:numPr>
        <w:spacing w:line="560" w:lineRule="exact"/>
        <w:ind w:firstLineChars="0"/>
        <w:rPr>
          <w:rFonts w:eastAsia="方正仿宋_GBK"/>
          <w:sz w:val="30"/>
          <w:szCs w:val="30"/>
        </w:rPr>
      </w:pPr>
      <w:r>
        <w:rPr>
          <w:rFonts w:hint="eastAsia" w:eastAsia="方正仿宋_GBK"/>
          <w:sz w:val="30"/>
          <w:szCs w:val="30"/>
        </w:rPr>
        <w:t>未成年网民中，认为自己在过去半年内遭遇过网络安全事件的比例为25.5%，较2</w:t>
      </w:r>
      <w:r>
        <w:rPr>
          <w:rFonts w:eastAsia="方正仿宋_GBK"/>
          <w:sz w:val="30"/>
          <w:szCs w:val="30"/>
        </w:rPr>
        <w:t>020</w:t>
      </w:r>
      <w:r>
        <w:rPr>
          <w:rFonts w:hint="eastAsia" w:eastAsia="方正仿宋_GBK"/>
          <w:sz w:val="30"/>
          <w:szCs w:val="30"/>
        </w:rPr>
        <w:t>年下降1</w:t>
      </w:r>
      <w:r>
        <w:rPr>
          <w:rFonts w:eastAsia="方正仿宋_GBK"/>
          <w:sz w:val="30"/>
          <w:szCs w:val="30"/>
        </w:rPr>
        <w:t>.7</w:t>
      </w:r>
      <w:r>
        <w:rPr>
          <w:rFonts w:hint="eastAsia" w:eastAsia="方正仿宋_GBK"/>
          <w:sz w:val="30"/>
          <w:szCs w:val="30"/>
        </w:rPr>
        <w:t>个百分点。</w:t>
      </w:r>
    </w:p>
    <w:p>
      <w:pPr>
        <w:pStyle w:val="50"/>
        <w:numPr>
          <w:ilvl w:val="0"/>
          <w:numId w:val="1"/>
        </w:numPr>
        <w:spacing w:line="560" w:lineRule="exact"/>
        <w:ind w:firstLineChars="0"/>
        <w:rPr>
          <w:rFonts w:eastAsia="方正仿宋_GBK"/>
          <w:sz w:val="30"/>
          <w:szCs w:val="30"/>
        </w:rPr>
      </w:pPr>
      <w:r>
        <w:rPr>
          <w:rFonts w:hint="eastAsia" w:eastAsia="方正仿宋_GBK"/>
          <w:sz w:val="30"/>
          <w:szCs w:val="30"/>
        </w:rPr>
        <w:t>未成年网民中，对网络权益维护或举报具有一定认知的比例为7</w:t>
      </w:r>
      <w:r>
        <w:rPr>
          <w:rFonts w:eastAsia="方正仿宋_GBK"/>
          <w:sz w:val="30"/>
          <w:szCs w:val="30"/>
        </w:rPr>
        <w:t>9.8%</w:t>
      </w:r>
      <w:r>
        <w:rPr>
          <w:rFonts w:hint="eastAsia" w:eastAsia="方正仿宋_GBK"/>
          <w:sz w:val="30"/>
          <w:szCs w:val="30"/>
        </w:rPr>
        <w:t>，较</w:t>
      </w:r>
      <w:r>
        <w:rPr>
          <w:rFonts w:eastAsia="方正仿宋_GBK"/>
          <w:sz w:val="30"/>
          <w:szCs w:val="30"/>
        </w:rPr>
        <w:t>2020</w:t>
      </w:r>
      <w:r>
        <w:rPr>
          <w:rFonts w:hint="eastAsia" w:eastAsia="方正仿宋_GBK"/>
          <w:sz w:val="30"/>
          <w:szCs w:val="30"/>
        </w:rPr>
        <w:t>年提升5</w:t>
      </w:r>
      <w:r>
        <w:rPr>
          <w:rFonts w:eastAsia="方正仿宋_GBK"/>
          <w:sz w:val="30"/>
          <w:szCs w:val="30"/>
        </w:rPr>
        <w:t>.7</w:t>
      </w:r>
      <w:r>
        <w:rPr>
          <w:rFonts w:hint="eastAsia" w:eastAsia="方正仿宋_GBK"/>
          <w:sz w:val="30"/>
          <w:szCs w:val="30"/>
        </w:rPr>
        <w:t>个百分点。</w:t>
      </w:r>
    </w:p>
    <w:p>
      <w:pPr>
        <w:pStyle w:val="50"/>
        <w:numPr>
          <w:ilvl w:val="0"/>
          <w:numId w:val="1"/>
        </w:numPr>
        <w:spacing w:line="560" w:lineRule="exact"/>
        <w:ind w:firstLineChars="0"/>
        <w:rPr>
          <w:rFonts w:eastAsia="方正仿宋_GBK"/>
          <w:sz w:val="30"/>
          <w:szCs w:val="30"/>
        </w:rPr>
      </w:pPr>
      <w:r>
        <w:rPr>
          <w:rFonts w:hint="eastAsia" w:eastAsia="方正仿宋_GBK"/>
          <w:sz w:val="30"/>
          <w:szCs w:val="30"/>
        </w:rPr>
        <w:t>未成年网民中，会关注未成年人上网相关新政策新法规的比例为6</w:t>
      </w:r>
      <w:r>
        <w:rPr>
          <w:rFonts w:eastAsia="方正仿宋_GBK"/>
          <w:sz w:val="30"/>
          <w:szCs w:val="30"/>
        </w:rPr>
        <w:t>6.3</w:t>
      </w:r>
      <w:r>
        <w:rPr>
          <w:rFonts w:hint="eastAsia" w:eastAsia="方正仿宋_GBK"/>
          <w:sz w:val="30"/>
          <w:szCs w:val="30"/>
        </w:rPr>
        <w:t>%。</w:t>
      </w:r>
    </w:p>
    <w:p>
      <w:pPr>
        <w:pStyle w:val="50"/>
        <w:spacing w:line="560" w:lineRule="exact"/>
        <w:ind w:firstLine="600"/>
        <w:outlineLvl w:val="1"/>
        <w:rPr>
          <w:rFonts w:eastAsia="方正黑体_GBK" w:cs="方正黑体_GBK"/>
          <w:bCs/>
          <w:sz w:val="30"/>
          <w:szCs w:val="30"/>
        </w:rPr>
      </w:pPr>
      <w:bookmarkStart w:id="69" w:name="_Toc602583820"/>
      <w:r>
        <w:rPr>
          <w:rFonts w:hint="eastAsia" w:eastAsia="方正黑体_GBK" w:cs="方正黑体_GBK"/>
          <w:bCs/>
          <w:sz w:val="30"/>
          <w:szCs w:val="30"/>
        </w:rPr>
        <w:t>二、主要发现</w:t>
      </w:r>
      <w:bookmarkEnd w:id="69"/>
    </w:p>
    <w:p>
      <w:pPr>
        <w:autoSpaceDE w:val="0"/>
        <w:autoSpaceDN w:val="0"/>
        <w:adjustRightInd w:val="0"/>
        <w:spacing w:line="560" w:lineRule="exact"/>
        <w:ind w:firstLine="600" w:firstLineChars="200"/>
        <w:rPr>
          <w:rFonts w:eastAsia="方正仿宋_GBK"/>
          <w:kern w:val="0"/>
          <w:sz w:val="30"/>
          <w:szCs w:val="30"/>
        </w:rPr>
      </w:pPr>
      <w:bookmarkStart w:id="70" w:name="_Toc113544245"/>
      <w:r>
        <w:rPr>
          <w:rFonts w:hint="eastAsia" w:eastAsia="方正仿宋_GBK"/>
          <w:kern w:val="0"/>
          <w:sz w:val="30"/>
          <w:szCs w:val="30"/>
        </w:rPr>
        <w:t xml:space="preserve">1. </w:t>
      </w:r>
      <w:r>
        <w:rPr>
          <w:rFonts w:hint="eastAsia" w:eastAsia="方正楷体_GBK" w:cs="方正楷体_GBK"/>
          <w:kern w:val="0"/>
          <w:sz w:val="30"/>
          <w:szCs w:val="30"/>
        </w:rPr>
        <w:t>未成年人互联网普及率持续提升，网络依赖程度有所下降</w:t>
      </w:r>
      <w:r>
        <w:rPr>
          <w:rFonts w:hint="eastAsia" w:eastAsia="方正仿宋_GBK"/>
          <w:kern w:val="0"/>
          <w:sz w:val="30"/>
          <w:szCs w:val="30"/>
        </w:rPr>
        <w:t>。2021年我国未成年人互联网普及率达96.8%，较2020年提升1.9个百分点，未成年人过度上网情况有所改善。未成年网民工作日平均上网时长在2小时以上的比例为8.7%，节假日平均上网时长在5小时以上的比例为9.9%，分别比2020年下降2.8个百分点和2.3个百分点。未成年网民对互联网的主观依赖程度和家长认为孩子上网时间过长的主观感受都呈下降趋势。42.0%的未成年网民认为自己对互联网没有依赖心理，较2020年提升3.3个百分点；27.3%的家长认为孩子上网时间过长，较2020年下降4.5个百分点。</w:t>
      </w: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 xml:space="preserve">2. </w:t>
      </w:r>
      <w:r>
        <w:rPr>
          <w:rFonts w:hint="eastAsia" w:eastAsia="方正楷体_GBK" w:cs="方正楷体_GBK"/>
          <w:kern w:val="0"/>
          <w:sz w:val="30"/>
          <w:szCs w:val="30"/>
        </w:rPr>
        <w:t>未成年人网络使用存在城乡差异，农村未成年网民教育管理相对不足</w:t>
      </w:r>
      <w:r>
        <w:rPr>
          <w:rFonts w:hint="eastAsia" w:eastAsia="方正仿宋_GBK"/>
          <w:kern w:val="0"/>
          <w:sz w:val="30"/>
          <w:szCs w:val="30"/>
        </w:rPr>
        <w:t>。</w:t>
      </w:r>
      <w:bookmarkEnd w:id="70"/>
      <w:r>
        <w:rPr>
          <w:rFonts w:hint="eastAsia" w:eastAsia="方正仿宋_GBK"/>
          <w:kern w:val="0"/>
          <w:sz w:val="30"/>
          <w:szCs w:val="30"/>
        </w:rPr>
        <w:t>随着移动互联网向农村持续渗透，城乡未成年人在互联网普及率方面的差距已基本弥合。然而，他们在网络使用方面存在较为明显的差异，主要表现为农村未成年网民上网设备相对单一、长时间上网情况更突出、使用休闲娱乐类应用比例较高、使用学习资讯类应用比例较低。比如，除手机外，农村未成年网民使用笔记本电脑、平板电脑、智能手表等设备上网的比例均明显低于城镇未成年网民；节假日平均上网时长在5小时以上的，农村比城镇高3.9个百分点；经常在网上玩游戏、看短视频的，农村比城镇分别高6.0和8.3个百分点；经常使用网络学习、搜索引擎和看新闻的，农村比城镇分别低8.9、6.8和5.0个百分点。调研发现，超四成农村未成年网民没有和父母双方一起生活，比城镇</w:t>
      </w:r>
      <w:r>
        <w:rPr>
          <w:rFonts w:hint="eastAsia" w:eastAsia="方正仿宋_GBK"/>
          <w:kern w:val="0"/>
          <w:sz w:val="30"/>
          <w:szCs w:val="30"/>
          <w:lang w:val="en-US" w:eastAsia="zh-CN"/>
        </w:rPr>
        <w:t>高</w:t>
      </w:r>
      <w:r>
        <w:rPr>
          <w:rFonts w:hint="eastAsia" w:eastAsia="方正仿宋_GBK"/>
          <w:kern w:val="0"/>
          <w:sz w:val="30"/>
          <w:szCs w:val="30"/>
        </w:rPr>
        <w:t>近两成。这一方面使得更多农村未成年人需要使用手机进行亲情联络，另一方面也导致农村未成年网民在上网用网上缺少家长的监督约束。只有38.3%的农村未成年网民表示上网时长经常受到家长限制，比城镇低10.4个百分点。</w:t>
      </w:r>
    </w:p>
    <w:p>
      <w:pPr>
        <w:autoSpaceDE w:val="0"/>
        <w:autoSpaceDN w:val="0"/>
        <w:adjustRightInd w:val="0"/>
        <w:spacing w:line="560" w:lineRule="exact"/>
        <w:ind w:firstLine="600" w:firstLineChars="200"/>
        <w:rPr>
          <w:rFonts w:eastAsia="方正仿宋_GBK"/>
          <w:kern w:val="0"/>
          <w:sz w:val="30"/>
          <w:szCs w:val="30"/>
        </w:rPr>
      </w:pPr>
      <w:bookmarkStart w:id="71" w:name="_Toc113544246"/>
      <w:r>
        <w:rPr>
          <w:rFonts w:eastAsia="方正楷体_GBK"/>
          <w:kern w:val="0"/>
          <w:sz w:val="30"/>
          <w:szCs w:val="30"/>
        </w:rPr>
        <w:t>3.</w:t>
      </w:r>
      <w:r>
        <w:rPr>
          <w:rFonts w:hint="eastAsia" w:eastAsia="方正楷体_GBK" w:cs="方正楷体_GBK"/>
          <w:kern w:val="0"/>
          <w:sz w:val="30"/>
          <w:szCs w:val="30"/>
        </w:rPr>
        <w:t xml:space="preserve"> 互联网平台监管初见成效，青少年模式有待</w:t>
      </w:r>
      <w:r>
        <w:rPr>
          <w:rFonts w:hint="eastAsia" w:eastAsia="方正楷体_GBK" w:cs="方正楷体_GBK"/>
          <w:kern w:val="0"/>
          <w:sz w:val="30"/>
          <w:szCs w:val="30"/>
          <w:lang w:val="en-US" w:eastAsia="zh-CN"/>
        </w:rPr>
        <w:t>进一步推广完善</w:t>
      </w:r>
      <w:bookmarkStart w:id="233" w:name="_GoBack"/>
      <w:bookmarkEnd w:id="233"/>
      <w:r>
        <w:rPr>
          <w:rFonts w:hint="eastAsia" w:eastAsia="方正仿宋_GBK"/>
          <w:kern w:val="0"/>
          <w:sz w:val="30"/>
          <w:szCs w:val="30"/>
        </w:rPr>
        <w:t>。新修订的《未成年人保护法》增设“网络保护”专章，对网络游戏、网络直播、网络音视频、网络社交等网络服务提供者提出未成年人保护相关的明确要求。2021年未成年网民经常在网络上听音乐、玩游戏、看视频、看短视频、看直播的比例，较2020年均有不同程度的下降。2021年6月，中央网信办在全国范围内开展“清朗·‘饭圈’乱象整治”专项行动，</w:t>
      </w:r>
      <w:r>
        <w:rPr>
          <w:rFonts w:hint="eastAsia" w:eastAsia="方正仿宋_GBK"/>
          <w:kern w:val="0"/>
          <w:sz w:val="30"/>
          <w:szCs w:val="30"/>
          <w:lang w:eastAsia="zh-CN"/>
        </w:rPr>
        <w:t>推动</w:t>
      </w:r>
      <w:r>
        <w:rPr>
          <w:rFonts w:hint="eastAsia" w:eastAsia="方正仿宋_GBK"/>
          <w:kern w:val="0"/>
          <w:sz w:val="30"/>
          <w:szCs w:val="30"/>
        </w:rPr>
        <w:t>未成年网民经常参与网上粉丝应援行为的比例</w:t>
      </w:r>
      <w:r>
        <w:rPr>
          <w:rFonts w:hint="eastAsia" w:eastAsia="方正仿宋_GBK"/>
          <w:kern w:val="0"/>
          <w:sz w:val="30"/>
          <w:szCs w:val="30"/>
          <w:lang w:eastAsia="zh-CN"/>
        </w:rPr>
        <w:t>从</w:t>
      </w:r>
      <w:r>
        <w:rPr>
          <w:rFonts w:hint="eastAsia" w:eastAsia="方正仿宋_GBK"/>
          <w:kern w:val="0"/>
          <w:sz w:val="30"/>
          <w:szCs w:val="30"/>
        </w:rPr>
        <w:t>2020年</w:t>
      </w:r>
      <w:r>
        <w:rPr>
          <w:rFonts w:hint="eastAsia" w:eastAsia="方正仿宋_GBK"/>
          <w:kern w:val="0"/>
          <w:sz w:val="30"/>
          <w:szCs w:val="30"/>
          <w:lang w:eastAsia="zh-CN"/>
        </w:rPr>
        <w:t>的</w:t>
      </w:r>
      <w:r>
        <w:rPr>
          <w:rFonts w:hint="eastAsia" w:eastAsia="方正仿宋_GBK"/>
          <w:kern w:val="0"/>
          <w:sz w:val="30"/>
          <w:szCs w:val="30"/>
          <w:lang w:val="en-US" w:eastAsia="zh-CN"/>
        </w:rPr>
        <w:t>8.0%</w:t>
      </w:r>
      <w:r>
        <w:rPr>
          <w:rFonts w:hint="eastAsia" w:eastAsia="方正仿宋_GBK"/>
          <w:kern w:val="0"/>
          <w:sz w:val="30"/>
          <w:szCs w:val="30"/>
        </w:rPr>
        <w:t>下降</w:t>
      </w:r>
      <w:r>
        <w:rPr>
          <w:rFonts w:hint="eastAsia" w:eastAsia="方正仿宋_GBK"/>
          <w:kern w:val="0"/>
          <w:sz w:val="30"/>
          <w:szCs w:val="30"/>
          <w:lang w:eastAsia="zh-CN"/>
        </w:rPr>
        <w:t>至</w:t>
      </w:r>
      <w:r>
        <w:rPr>
          <w:rFonts w:hint="eastAsia" w:eastAsia="方正仿宋_GBK"/>
          <w:kern w:val="0"/>
          <w:sz w:val="30"/>
          <w:szCs w:val="30"/>
          <w:lang w:val="en-US" w:eastAsia="zh-CN"/>
        </w:rPr>
        <w:t>2021年的5.4%</w:t>
      </w:r>
      <w:r>
        <w:rPr>
          <w:rFonts w:hint="eastAsia" w:eastAsia="方正仿宋_GBK"/>
          <w:kern w:val="0"/>
          <w:sz w:val="30"/>
          <w:szCs w:val="30"/>
        </w:rPr>
        <w:t>，</w:t>
      </w:r>
      <w:r>
        <w:rPr>
          <w:rFonts w:hint="eastAsia" w:eastAsia="方正仿宋_GBK"/>
          <w:kern w:val="0"/>
          <w:sz w:val="30"/>
          <w:szCs w:val="30"/>
          <w:lang w:val="en-US" w:eastAsia="zh-CN"/>
        </w:rPr>
        <w:t>减少近三分之一</w:t>
      </w:r>
      <w:r>
        <w:rPr>
          <w:rFonts w:hint="eastAsia" w:eastAsia="方正仿宋_GBK"/>
          <w:kern w:val="0"/>
          <w:sz w:val="30"/>
          <w:szCs w:val="30"/>
        </w:rPr>
        <w:t>。2019年以来，各大视频、短视频、社交、游戏等网络平台陆续推出青少年模式，在帮助未成年人减少网络依赖和网络不良信息方面发挥了积极作用。调查发现，尽管85.9%的未成年人和91.6%的家长都知道青少年模式，但设置过青少年模式的未成年人和家长均不到五成，</w:t>
      </w:r>
      <w:r>
        <w:rPr>
          <w:rFonts w:hint="eastAsia" w:eastAsia="方正仿宋_GBK"/>
          <w:kern w:val="0"/>
          <w:sz w:val="30"/>
          <w:szCs w:val="30"/>
          <w:lang w:eastAsia="zh-CN"/>
        </w:rPr>
        <w:t>四成家长认为青少年模式效果不够明显，一成未成年网民表示对青少年模式不满意</w:t>
      </w:r>
      <w:r>
        <w:rPr>
          <w:rFonts w:hint="eastAsia" w:eastAsia="方正仿宋_GBK"/>
          <w:kern w:val="0"/>
          <w:sz w:val="30"/>
          <w:szCs w:val="30"/>
        </w:rPr>
        <w:t>。未成年人游戏账号管理趋于严格，但有31.9%的未成年网民使用家长账号玩过游戏。</w:t>
      </w: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 xml:space="preserve">4. </w:t>
      </w:r>
      <w:r>
        <w:rPr>
          <w:rFonts w:hint="eastAsia" w:eastAsia="方正楷体_GBK" w:cs="方正楷体_GBK"/>
          <w:kern w:val="0"/>
          <w:sz w:val="30"/>
          <w:szCs w:val="30"/>
        </w:rPr>
        <w:t>视频平台成为获取信息重要渠道，对未成年人价值观塑造的影响值得关注</w:t>
      </w:r>
      <w:r>
        <w:rPr>
          <w:rFonts w:hint="eastAsia" w:eastAsia="方正仿宋_GBK"/>
          <w:kern w:val="0"/>
          <w:sz w:val="30"/>
          <w:szCs w:val="30"/>
        </w:rPr>
        <w:t>。视频、短视频平台已成为当前未成年人获取新闻事件、重大消息的主要渠道之一，其内容质量会对未成年人思想观念产生潜移默化影响。接近半数未成年人通过抖音、快手、B站等短视频、视频平台获取社会重大事件信息，略高于各类官方媒体网站。</w:t>
      </w:r>
      <w:r>
        <w:rPr>
          <w:rFonts w:hint="eastAsia" w:eastAsia="方正仿宋_GBK"/>
          <w:kern w:val="0"/>
          <w:sz w:val="30"/>
          <w:szCs w:val="30"/>
          <w:lang w:eastAsia="zh-CN"/>
        </w:rPr>
        <w:t>但</w:t>
      </w:r>
      <w:r>
        <w:rPr>
          <w:rFonts w:hint="eastAsia" w:eastAsia="方正仿宋_GBK"/>
          <w:kern w:val="0"/>
          <w:sz w:val="30"/>
          <w:szCs w:val="30"/>
        </w:rPr>
        <w:t>当前未成年网民对于网络信息来源渠道的鉴别意识还不高，未成年短视频用户中，会有意识地区分短视频信息是官方还是自媒体发布的不到一半。38.3%的未成年网民在上网过程中遭遇过不良或消极负面信息，其中占比最高的是炫耀个人财富或家庭背景（21.2%），宣扬不劳而获、躺平思想（16.3%）等消极负面的内容。值得注意的是，随着互联网平台监管工作的有序推进，血腥暴力、唆使犯罪、歪曲历史、淫秽色情等不良信息得到有效控制，但消极负面信息对未成年人世界观、人生观、价值观的影响不可小觑。</w:t>
      </w:r>
    </w:p>
    <w:p>
      <w:pPr>
        <w:autoSpaceDE w:val="0"/>
        <w:autoSpaceDN w:val="0"/>
        <w:adjustRightInd w:val="0"/>
        <w:spacing w:line="560" w:lineRule="exact"/>
        <w:ind w:firstLine="600" w:firstLineChars="200"/>
        <w:rPr>
          <w:rFonts w:eastAsia="方正仿宋_GBK"/>
          <w:kern w:val="0"/>
          <w:sz w:val="30"/>
          <w:szCs w:val="30"/>
        </w:rPr>
      </w:pPr>
      <w:r>
        <w:rPr>
          <w:rFonts w:hint="eastAsia" w:eastAsia="方正楷体_GBK"/>
          <w:kern w:val="0"/>
          <w:sz w:val="30"/>
          <w:szCs w:val="30"/>
        </w:rPr>
        <w:t>5</w:t>
      </w:r>
      <w:r>
        <w:rPr>
          <w:rFonts w:eastAsia="方正楷体_GBK"/>
          <w:kern w:val="0"/>
          <w:sz w:val="30"/>
          <w:szCs w:val="30"/>
        </w:rPr>
        <w:t>.</w:t>
      </w:r>
      <w:r>
        <w:rPr>
          <w:rFonts w:hint="eastAsia" w:eastAsia="方正楷体_GBK" w:cs="方正楷体_GBK"/>
          <w:kern w:val="0"/>
          <w:sz w:val="30"/>
          <w:szCs w:val="30"/>
        </w:rPr>
        <w:t xml:space="preserve"> 网络安全环境持续改善，新风险隐患不容忽视</w:t>
      </w:r>
      <w:r>
        <w:rPr>
          <w:rFonts w:hint="eastAsia" w:eastAsia="方正仿宋_GBK"/>
          <w:kern w:val="0"/>
          <w:sz w:val="30"/>
          <w:szCs w:val="30"/>
        </w:rPr>
        <w:t>。随着一系列网络环境专项整治行动的开展，以及家长和学校对未成年人网络安全教育管理的日益重视，网络安全环境持续改善，未成年人网络素养有所提升。比如，未成年网民在过去半年内遭遇过网络安全事件的比例为25.5%，较2020年下降1.7个百分点；79.8%的未成年网民知道可以通过互联网对侵害自身不法行为进行权益维护或举报，较2020年提升5.7个百分点</w:t>
      </w:r>
      <w:bookmarkEnd w:id="71"/>
      <w:r>
        <w:rPr>
          <w:rFonts w:hint="eastAsia" w:eastAsia="方正仿宋_GBK"/>
          <w:kern w:val="0"/>
          <w:sz w:val="30"/>
          <w:szCs w:val="30"/>
        </w:rPr>
        <w:t>；66.3%的未成年网民会在日常生活中关注未成年人上网相关的新政策新法规。与此同时，网络安全方面也出现一些新风险隐患。一是部分未成年网民网络安全防范意识不强，20</w:t>
      </w:r>
      <w:r>
        <w:rPr>
          <w:rFonts w:eastAsia="方正仿宋_GBK"/>
          <w:kern w:val="0"/>
          <w:sz w:val="30"/>
          <w:szCs w:val="30"/>
        </w:rPr>
        <w:t>.0</w:t>
      </w:r>
      <w:r>
        <w:rPr>
          <w:rFonts w:hint="eastAsia" w:eastAsia="方正仿宋_GBK"/>
          <w:kern w:val="0"/>
          <w:sz w:val="30"/>
          <w:szCs w:val="30"/>
        </w:rPr>
        <w:t>%的未成年网民对于防范网络诈骗、信息泄露、网络谣言等没有概念，且年龄越小，防范意识越弱。二是网络安全陷阱也在“与时俱进”，与2020年相比，未成年网民中遭遇账号密码被盗、电脑或手机中病毒等传统问题的比例持续下降，但遭遇网上诈骗、个人信息泄露等形式多变、“套路满满”的新问题的比例略有升高。三是新型上网设备存在信息安全风险，智能手表、智能台灯、智能音箱、词典笔等新型上网设备在未成年网民中迅速普及，功能丰富多样，但在信息内容、隐私安全等方面标准不一，56.0%的未成年网民、56.8%的家长和79.0%的教师表示对这类设备的信息安全风险感到担心。</w:t>
      </w:r>
    </w:p>
    <w:p>
      <w:pPr>
        <w:autoSpaceDE w:val="0"/>
        <w:autoSpaceDN w:val="0"/>
        <w:adjustRightInd w:val="0"/>
        <w:spacing w:line="560" w:lineRule="exact"/>
        <w:ind w:firstLine="600" w:firstLineChars="200"/>
      </w:pPr>
      <w:bookmarkStart w:id="72" w:name="_Toc113544250"/>
      <w:r>
        <w:rPr>
          <w:rFonts w:hint="eastAsia" w:eastAsia="方正楷体_GBK"/>
          <w:kern w:val="0"/>
          <w:sz w:val="30"/>
          <w:szCs w:val="30"/>
        </w:rPr>
        <w:t>6. 家庭对未成年人上网影响重大，提升家长网络素养实有必要</w:t>
      </w:r>
      <w:r>
        <w:rPr>
          <w:rFonts w:hint="eastAsia" w:eastAsia="方正仿宋_GBK"/>
          <w:kern w:val="0"/>
          <w:sz w:val="30"/>
          <w:szCs w:val="30"/>
        </w:rPr>
        <w:t>。家庭是未成年人上网的主要场所，家长对未成年人上网的管理和引导方式直接影响未成年人上网行为和习惯。上网时长是否受到家长限制、是否与父母共同生活，显著影响未成年网民的网络依赖程度。经常受到家长限制的未成年网民，对互联网有依赖心理的比例为10.0%，比不受家长限制的未成年网民低27.4个百分点。与父母双方共同生活的未成年网民中，其认为自己非常依赖或比较依赖互联网的比例为16.2%，而与父母中的某一方或其他亲属生活的未成年网民中，这个比例分别为22.4%和21.3%。家长自身的上网行为和网络素养也对未成年网民有直接影响。在家长经常玩手机游戏或看短视频的家庭中，未成年人工作日上网2小时以上、节假日上网5小时以上的比例，分别比家长不经常玩手机游戏或看短视频的家庭高5.6和8</w:t>
      </w:r>
      <w:r>
        <w:rPr>
          <w:rFonts w:eastAsia="方正仿宋_GBK"/>
          <w:kern w:val="0"/>
          <w:sz w:val="30"/>
          <w:szCs w:val="30"/>
        </w:rPr>
        <w:t>.5</w:t>
      </w:r>
      <w:r>
        <w:rPr>
          <w:rFonts w:hint="eastAsia" w:eastAsia="方正仿宋_GBK"/>
          <w:kern w:val="0"/>
          <w:sz w:val="30"/>
          <w:szCs w:val="30"/>
        </w:rPr>
        <w:t>个百分点；还有31.9%的未成年网民使用家长账号玩过游戏。26.8%的家长表示对互联网懂得不多，7.4%的家长表示自己不会上网，25.3%的家长认为自己对互联网存在依赖心理，</w:t>
      </w:r>
      <w:r>
        <w:rPr>
          <w:rFonts w:hint="eastAsia" w:eastAsia="方正仿宋_GBK"/>
          <w:kern w:val="0"/>
          <w:sz w:val="30"/>
          <w:szCs w:val="30"/>
          <w:lang w:eastAsia="zh-CN"/>
        </w:rPr>
        <w:t>难</w:t>
      </w:r>
      <w:r>
        <w:rPr>
          <w:rFonts w:hint="eastAsia" w:eastAsia="方正仿宋_GBK"/>
          <w:kern w:val="0"/>
          <w:sz w:val="30"/>
          <w:szCs w:val="30"/>
        </w:rPr>
        <w:t>免会影响对子女上网的管理效果。</w:t>
      </w:r>
    </w:p>
    <w:p>
      <w:pPr>
        <w:pStyle w:val="50"/>
        <w:spacing w:line="560" w:lineRule="exact"/>
        <w:ind w:firstLine="600"/>
        <w:outlineLvl w:val="1"/>
        <w:rPr>
          <w:rFonts w:eastAsia="方正黑体_GBK" w:cs="方正黑体_GBK"/>
          <w:bCs/>
          <w:sz w:val="30"/>
          <w:szCs w:val="30"/>
        </w:rPr>
      </w:pPr>
      <w:bookmarkStart w:id="73" w:name="_Toc712465"/>
      <w:r>
        <w:rPr>
          <w:rFonts w:hint="eastAsia" w:eastAsia="方正黑体_GBK" w:cs="方正黑体_GBK"/>
          <w:bCs/>
          <w:sz w:val="30"/>
          <w:szCs w:val="30"/>
        </w:rPr>
        <w:t>三、有关建议</w:t>
      </w:r>
      <w:bookmarkEnd w:id="72"/>
      <w:bookmarkEnd w:id="73"/>
    </w:p>
    <w:p>
      <w:pPr>
        <w:autoSpaceDE w:val="0"/>
        <w:autoSpaceDN w:val="0"/>
        <w:adjustRightInd w:val="0"/>
        <w:spacing w:line="560" w:lineRule="exact"/>
        <w:ind w:firstLine="600" w:firstLineChars="200"/>
        <w:rPr>
          <w:rFonts w:eastAsia="方正仿宋_GBK"/>
          <w:kern w:val="0"/>
          <w:sz w:val="30"/>
          <w:szCs w:val="30"/>
        </w:rPr>
      </w:pPr>
      <w:bookmarkStart w:id="74" w:name="_Toc113544252"/>
      <w:r>
        <w:rPr>
          <w:rFonts w:hint="eastAsia" w:eastAsia="方正仿宋_GBK"/>
          <w:sz w:val="30"/>
          <w:szCs w:val="30"/>
        </w:rPr>
        <w:t>在互联网高度渗透、上网触手可及的当下，</w:t>
      </w:r>
      <w:r>
        <w:rPr>
          <w:rFonts w:hint="eastAsia" w:eastAsia="方正仿宋_GBK"/>
          <w:kern w:val="0"/>
          <w:sz w:val="30"/>
          <w:szCs w:val="30"/>
        </w:rPr>
        <w:t>未成年人是地地道道的“数字原住民”，网络甚至已成为其日常学习生活不可或缺的“水和空气”。建议</w:t>
      </w:r>
      <w:r>
        <w:rPr>
          <w:rStyle w:val="63"/>
          <w:rFonts w:hint="eastAsia" w:eastAsia="方正仿宋_GBK"/>
          <w:sz w:val="30"/>
          <w:szCs w:val="30"/>
        </w:rPr>
        <w:t>“政、校、家、社</w:t>
      </w:r>
      <w:r>
        <w:rPr>
          <w:rStyle w:val="63"/>
          <w:rFonts w:hint="eastAsia" w:eastAsia="方正仿宋_GBK"/>
          <w:sz w:val="30"/>
          <w:szCs w:val="30"/>
          <w:lang w:eastAsia="zh-CN"/>
        </w:rPr>
        <w:t>、企</w:t>
      </w:r>
      <w:r>
        <w:rPr>
          <w:rStyle w:val="63"/>
          <w:rFonts w:hint="eastAsia" w:eastAsia="方正仿宋_GBK"/>
          <w:sz w:val="30"/>
          <w:szCs w:val="30"/>
        </w:rPr>
        <w:t>”协同发力，</w:t>
      </w:r>
      <w:r>
        <w:rPr>
          <w:rFonts w:hint="eastAsia" w:eastAsia="方正仿宋_GBK"/>
          <w:kern w:val="0"/>
          <w:sz w:val="30"/>
          <w:szCs w:val="30"/>
        </w:rPr>
        <w:t>顺应数字社会发展规律，治管教结合，多管齐下，为“互联网一代”未成年人健康成长保驾护航。</w:t>
      </w:r>
    </w:p>
    <w:bookmarkEnd w:id="74"/>
    <w:p>
      <w:pPr>
        <w:keepNext w:val="0"/>
        <w:keepLines w:val="0"/>
        <w:pageBreakBefore w:val="0"/>
        <w:widowControl w:val="0"/>
        <w:kinsoku/>
        <w:wordWrap/>
        <w:overflowPunct/>
        <w:topLinePunct w:val="0"/>
        <w:autoSpaceDE w:val="0"/>
        <w:autoSpaceDN w:val="0"/>
        <w:bidi w:val="0"/>
        <w:adjustRightInd w:val="0"/>
        <w:snapToGrid/>
        <w:spacing w:line="560" w:lineRule="exact"/>
        <w:ind w:firstLine="600" w:firstLineChars="200"/>
        <w:textAlignment w:val="auto"/>
        <w:rPr>
          <w:rFonts w:hint="eastAsia" w:ascii="Times New Roman" w:hAnsi="Times New Roman" w:eastAsia="方正仿宋_GBK" w:cs="Times New Roman"/>
          <w:color w:val="auto"/>
          <w:spacing w:val="0"/>
          <w:w w:val="100"/>
          <w:kern w:val="0"/>
          <w:sz w:val="30"/>
          <w:szCs w:val="30"/>
          <w:highlight w:val="none"/>
          <w:lang w:val="en-US" w:eastAsia="zh-CN"/>
        </w:rPr>
      </w:pPr>
      <w:r>
        <w:rPr>
          <w:rFonts w:hint="eastAsia" w:ascii="Times New Roman" w:hAnsi="Times New Roman" w:eastAsia="方正仿宋_GBK" w:cs="Times New Roman"/>
          <w:color w:val="auto"/>
          <w:spacing w:val="0"/>
          <w:w w:val="100"/>
          <w:kern w:val="0"/>
          <w:sz w:val="30"/>
          <w:szCs w:val="30"/>
          <w:highlight w:val="none"/>
          <w:lang w:val="en-US" w:eastAsia="zh-CN"/>
        </w:rPr>
        <w:t xml:space="preserve">1. </w:t>
      </w:r>
      <w:r>
        <w:rPr>
          <w:rFonts w:hint="eastAsia" w:eastAsia="方正楷体_GBK" w:cs="方正楷体_GBK"/>
          <w:color w:val="auto"/>
          <w:spacing w:val="0"/>
          <w:w w:val="100"/>
          <w:kern w:val="0"/>
          <w:sz w:val="30"/>
          <w:szCs w:val="30"/>
          <w:highlight w:val="none"/>
          <w:lang w:val="en-US" w:eastAsia="zh-CN"/>
        </w:rPr>
        <w:t>强化</w:t>
      </w:r>
      <w:r>
        <w:rPr>
          <w:rFonts w:hint="eastAsia" w:ascii="Times New Roman" w:hAnsi="Times New Roman" w:eastAsia="方正楷体_GBK" w:cs="方正楷体_GBK"/>
          <w:color w:val="auto"/>
          <w:spacing w:val="0"/>
          <w:w w:val="100"/>
          <w:kern w:val="0"/>
          <w:sz w:val="30"/>
          <w:szCs w:val="30"/>
          <w:highlight w:val="none"/>
          <w:lang w:val="en-US" w:eastAsia="zh-CN"/>
        </w:rPr>
        <w:t>法治</w:t>
      </w:r>
      <w:r>
        <w:rPr>
          <w:rFonts w:hint="eastAsia" w:eastAsia="方正楷体_GBK" w:cs="方正楷体_GBK"/>
          <w:color w:val="auto"/>
          <w:spacing w:val="0"/>
          <w:w w:val="100"/>
          <w:kern w:val="0"/>
          <w:sz w:val="30"/>
          <w:szCs w:val="30"/>
          <w:highlight w:val="none"/>
          <w:lang w:val="en-US" w:eastAsia="zh-CN"/>
        </w:rPr>
        <w:t>保障，</w:t>
      </w:r>
      <w:r>
        <w:rPr>
          <w:rFonts w:hint="eastAsia" w:ascii="Times New Roman" w:hAnsi="Times New Roman" w:eastAsia="方正楷体_GBK" w:cs="方正楷体_GBK"/>
          <w:color w:val="auto"/>
          <w:spacing w:val="0"/>
          <w:w w:val="100"/>
          <w:kern w:val="0"/>
          <w:sz w:val="30"/>
          <w:szCs w:val="30"/>
          <w:highlight w:val="none"/>
          <w:lang w:val="en-US" w:eastAsia="zh-CN"/>
        </w:rPr>
        <w:t>提升</w:t>
      </w:r>
      <w:r>
        <w:rPr>
          <w:rFonts w:hint="eastAsia" w:eastAsia="方正楷体_GBK" w:cs="方正楷体_GBK"/>
          <w:color w:val="auto"/>
          <w:spacing w:val="0"/>
          <w:w w:val="100"/>
          <w:kern w:val="0"/>
          <w:sz w:val="30"/>
          <w:szCs w:val="30"/>
          <w:highlight w:val="none"/>
          <w:lang w:val="en-US" w:eastAsia="zh-CN"/>
        </w:rPr>
        <w:t>未成年人</w:t>
      </w:r>
      <w:r>
        <w:rPr>
          <w:rFonts w:hint="eastAsia" w:ascii="Times New Roman" w:hAnsi="Times New Roman" w:eastAsia="方正楷体_GBK" w:cs="方正楷体_GBK"/>
          <w:color w:val="auto"/>
          <w:spacing w:val="0"/>
          <w:w w:val="100"/>
          <w:kern w:val="0"/>
          <w:sz w:val="30"/>
          <w:szCs w:val="30"/>
          <w:highlight w:val="none"/>
          <w:lang w:val="en-US" w:eastAsia="zh-CN"/>
        </w:rPr>
        <w:t>网络环境的安全</w:t>
      </w:r>
      <w:r>
        <w:rPr>
          <w:rFonts w:hint="eastAsia" w:eastAsia="方正楷体_GBK" w:cs="方正楷体_GBK"/>
          <w:color w:val="auto"/>
          <w:spacing w:val="0"/>
          <w:w w:val="100"/>
          <w:kern w:val="0"/>
          <w:sz w:val="30"/>
          <w:szCs w:val="30"/>
          <w:highlight w:val="none"/>
          <w:lang w:val="en-US" w:eastAsia="zh-CN"/>
        </w:rPr>
        <w:t>性</w:t>
      </w:r>
      <w:r>
        <w:rPr>
          <w:rFonts w:hint="eastAsia" w:ascii="Times New Roman" w:hAnsi="Times New Roman" w:eastAsia="方正楷体_GBK" w:cs="方正楷体_GBK"/>
          <w:color w:val="auto"/>
          <w:spacing w:val="0"/>
          <w:w w:val="100"/>
          <w:kern w:val="0"/>
          <w:sz w:val="30"/>
          <w:szCs w:val="30"/>
          <w:highlight w:val="none"/>
          <w:lang w:val="en-US" w:eastAsia="zh-CN"/>
        </w:rPr>
        <w:t>和健康度</w:t>
      </w:r>
      <w:r>
        <w:rPr>
          <w:rFonts w:hint="eastAsia" w:ascii="Times New Roman" w:hAnsi="Times New Roman" w:eastAsia="方正仿宋_GBK" w:cs="Times New Roman"/>
          <w:color w:val="auto"/>
          <w:spacing w:val="0"/>
          <w:w w:val="100"/>
          <w:kern w:val="0"/>
          <w:sz w:val="30"/>
          <w:szCs w:val="30"/>
          <w:highlight w:val="none"/>
          <w:lang w:val="en-US" w:eastAsia="zh-CN"/>
        </w:rPr>
        <w:t>。</w:t>
      </w:r>
      <w:r>
        <w:rPr>
          <w:rFonts w:hint="eastAsia" w:ascii="Times New Roman" w:hAnsi="Times New Roman" w:eastAsia="方正仿宋_GBK" w:cs="Times New Roman"/>
          <w:b/>
          <w:bCs/>
          <w:color w:val="auto"/>
          <w:spacing w:val="0"/>
          <w:w w:val="100"/>
          <w:kern w:val="0"/>
          <w:sz w:val="30"/>
          <w:szCs w:val="30"/>
          <w:highlight w:val="none"/>
          <w:lang w:val="en-US" w:eastAsia="zh-CN"/>
        </w:rPr>
        <w:t>一是</w:t>
      </w:r>
      <w:r>
        <w:rPr>
          <w:rFonts w:hint="eastAsia" w:ascii="Times New Roman" w:hAnsi="Times New Roman" w:eastAsia="方正仿宋_GBK"/>
          <w:color w:val="auto"/>
          <w:spacing w:val="4"/>
          <w:sz w:val="30"/>
          <w:szCs w:val="30"/>
          <w:highlight w:val="none"/>
          <w:lang w:val="en-US" w:eastAsia="zh-Hans"/>
        </w:rPr>
        <w:t>加强新</w:t>
      </w:r>
      <w:r>
        <w:rPr>
          <w:rFonts w:hint="eastAsia" w:ascii="Times New Roman" w:hAnsi="Times New Roman" w:eastAsia="方正仿宋_GBK"/>
          <w:color w:val="auto"/>
          <w:spacing w:val="4"/>
          <w:sz w:val="30"/>
          <w:szCs w:val="30"/>
          <w:highlight w:val="none"/>
          <w:lang w:val="en-US" w:eastAsia="zh-CN"/>
        </w:rPr>
        <w:t>修订的</w:t>
      </w:r>
      <w:r>
        <w:rPr>
          <w:rFonts w:hint="default" w:ascii="Times New Roman" w:hAnsi="Times New Roman" w:eastAsia="方正仿宋_GBK"/>
          <w:color w:val="auto"/>
          <w:spacing w:val="4"/>
          <w:sz w:val="30"/>
          <w:szCs w:val="30"/>
          <w:highlight w:val="none"/>
          <w:lang w:eastAsia="zh-Hans"/>
        </w:rPr>
        <w:t>《</w:t>
      </w:r>
      <w:r>
        <w:rPr>
          <w:rFonts w:hint="eastAsia" w:ascii="Times New Roman" w:hAnsi="Times New Roman" w:eastAsia="方正仿宋_GBK"/>
          <w:color w:val="auto"/>
          <w:spacing w:val="4"/>
          <w:sz w:val="30"/>
          <w:szCs w:val="30"/>
          <w:highlight w:val="none"/>
          <w:lang w:val="en-US" w:eastAsia="zh-Hans"/>
        </w:rPr>
        <w:t>未成年人保护法</w:t>
      </w:r>
      <w:r>
        <w:rPr>
          <w:rFonts w:hint="default" w:ascii="Times New Roman" w:hAnsi="Times New Roman" w:eastAsia="方正仿宋_GBK"/>
          <w:color w:val="auto"/>
          <w:spacing w:val="4"/>
          <w:sz w:val="30"/>
          <w:szCs w:val="30"/>
          <w:highlight w:val="none"/>
          <w:lang w:eastAsia="zh-Hans"/>
        </w:rPr>
        <w:t>》《</w:t>
      </w:r>
      <w:r>
        <w:rPr>
          <w:rFonts w:hint="eastAsia" w:ascii="Times New Roman" w:hAnsi="Times New Roman" w:eastAsia="方正仿宋_GBK"/>
          <w:color w:val="auto"/>
          <w:spacing w:val="4"/>
          <w:sz w:val="30"/>
          <w:szCs w:val="30"/>
          <w:highlight w:val="none"/>
          <w:lang w:val="en-US" w:eastAsia="zh-Hans"/>
        </w:rPr>
        <w:t>家庭教育促进法</w:t>
      </w:r>
      <w:r>
        <w:rPr>
          <w:rFonts w:hint="default" w:ascii="Times New Roman" w:hAnsi="Times New Roman" w:eastAsia="方正仿宋_GBK"/>
          <w:color w:val="auto"/>
          <w:spacing w:val="4"/>
          <w:sz w:val="30"/>
          <w:szCs w:val="30"/>
          <w:highlight w:val="none"/>
          <w:lang w:eastAsia="zh-Hans"/>
        </w:rPr>
        <w:t>》</w:t>
      </w:r>
      <w:r>
        <w:rPr>
          <w:rFonts w:hint="eastAsia" w:ascii="Times New Roman" w:hAnsi="Times New Roman" w:eastAsia="方正仿宋_GBK"/>
          <w:color w:val="auto"/>
          <w:spacing w:val="4"/>
          <w:sz w:val="30"/>
          <w:szCs w:val="30"/>
          <w:highlight w:val="none"/>
          <w:lang w:val="en-US" w:eastAsia="zh-Hans"/>
        </w:rPr>
        <w:t>等普法宣传和执法检查</w:t>
      </w:r>
      <w:r>
        <w:rPr>
          <w:rFonts w:hint="default" w:ascii="Times New Roman" w:hAnsi="Times New Roman" w:eastAsia="方正仿宋_GBK"/>
          <w:color w:val="auto"/>
          <w:spacing w:val="4"/>
          <w:sz w:val="30"/>
          <w:szCs w:val="30"/>
          <w:highlight w:val="none"/>
          <w:lang w:eastAsia="zh-Hans"/>
        </w:rPr>
        <w:t>，</w:t>
      </w:r>
      <w:r>
        <w:rPr>
          <w:rFonts w:hint="eastAsia" w:ascii="Times New Roman" w:hAnsi="Times New Roman" w:eastAsia="方正仿宋_GBK"/>
          <w:color w:val="auto"/>
          <w:spacing w:val="4"/>
          <w:sz w:val="30"/>
          <w:szCs w:val="30"/>
          <w:highlight w:val="none"/>
          <w:lang w:eastAsia="zh-CN"/>
        </w:rPr>
        <w:t>尽快</w:t>
      </w:r>
      <w:r>
        <w:rPr>
          <w:rFonts w:hint="eastAsia" w:ascii="Times New Roman" w:hAnsi="Times New Roman" w:eastAsia="方正仿宋_GBK"/>
          <w:color w:val="auto"/>
          <w:spacing w:val="4"/>
          <w:sz w:val="30"/>
          <w:szCs w:val="30"/>
          <w:highlight w:val="none"/>
          <w:lang w:val="en-US" w:eastAsia="zh-Hans"/>
        </w:rPr>
        <w:t>颁布</w:t>
      </w:r>
      <w:r>
        <w:rPr>
          <w:rFonts w:hint="eastAsia" w:ascii="Times New Roman" w:hAnsi="Times New Roman" w:eastAsia="方正仿宋_GBK"/>
          <w:color w:val="auto"/>
          <w:spacing w:val="4"/>
          <w:sz w:val="30"/>
          <w:szCs w:val="30"/>
          <w:highlight w:val="none"/>
          <w:lang w:eastAsia="zh-CN"/>
        </w:rPr>
        <w:t>《未成年人网络保护条例》，</w:t>
      </w:r>
      <w:r>
        <w:rPr>
          <w:rFonts w:hint="eastAsia" w:ascii="Times New Roman" w:hAnsi="Times New Roman" w:eastAsia="方正仿宋_GBK"/>
          <w:color w:val="auto"/>
          <w:spacing w:val="4"/>
          <w:sz w:val="30"/>
          <w:szCs w:val="30"/>
          <w:highlight w:val="none"/>
          <w:lang w:val="en-US" w:eastAsia="zh-CN"/>
        </w:rPr>
        <w:t>严厉</w:t>
      </w:r>
      <w:r>
        <w:rPr>
          <w:rFonts w:hint="eastAsia" w:eastAsia="方正仿宋_GBK" w:cs="Times New Roman"/>
          <w:color w:val="auto"/>
          <w:spacing w:val="0"/>
          <w:w w:val="100"/>
          <w:kern w:val="0"/>
          <w:sz w:val="30"/>
          <w:szCs w:val="30"/>
          <w:highlight w:val="none"/>
          <w:lang w:val="en-US" w:eastAsia="zh-CN"/>
        </w:rPr>
        <w:t>整治涉未成年人的网络偷拍直播、诱导性消费打赏、网络社交陷阱等，依法从严从重处置</w:t>
      </w:r>
      <w:r>
        <w:rPr>
          <w:rFonts w:hint="eastAsia" w:ascii="Times New Roman" w:hAnsi="Times New Roman" w:eastAsia="方正仿宋_GBK" w:cs="Times New Roman"/>
          <w:color w:val="auto"/>
          <w:spacing w:val="0"/>
          <w:kern w:val="0"/>
          <w:sz w:val="30"/>
          <w:szCs w:val="30"/>
          <w:highlight w:val="none"/>
        </w:rPr>
        <w:t>利用</w:t>
      </w:r>
      <w:r>
        <w:rPr>
          <w:rFonts w:hint="eastAsia" w:ascii="Times New Roman" w:hAnsi="Times New Roman" w:eastAsia="方正仿宋_GBK" w:cs="Times New Roman"/>
          <w:color w:val="auto"/>
          <w:spacing w:val="0"/>
          <w:kern w:val="0"/>
          <w:sz w:val="30"/>
          <w:szCs w:val="30"/>
          <w:highlight w:val="none"/>
          <w:lang w:val="en-US" w:eastAsia="zh-CN"/>
        </w:rPr>
        <w:t>网络教学</w:t>
      </w:r>
      <w:r>
        <w:rPr>
          <w:rFonts w:hint="eastAsia" w:ascii="Times New Roman" w:hAnsi="Times New Roman" w:eastAsia="方正仿宋_GBK" w:cs="Times New Roman"/>
          <w:color w:val="auto"/>
          <w:spacing w:val="0"/>
          <w:kern w:val="0"/>
          <w:sz w:val="30"/>
          <w:szCs w:val="30"/>
          <w:highlight w:val="none"/>
        </w:rPr>
        <w:t>损害未成年人权益的</w:t>
      </w:r>
      <w:r>
        <w:rPr>
          <w:rFonts w:hint="eastAsia" w:ascii="Times New Roman" w:hAnsi="Times New Roman" w:eastAsia="方正仿宋_GBK" w:cs="Times New Roman"/>
          <w:color w:val="auto"/>
          <w:spacing w:val="0"/>
          <w:kern w:val="0"/>
          <w:sz w:val="30"/>
          <w:szCs w:val="30"/>
          <w:highlight w:val="none"/>
          <w:lang w:val="en-US" w:eastAsia="zh-CN"/>
        </w:rPr>
        <w:t>行为，防止网络欺凌、网络暴力等现象的发生</w:t>
      </w:r>
      <w:r>
        <w:rPr>
          <w:rFonts w:hint="eastAsia" w:ascii="Times New Roman" w:hAnsi="Times New Roman" w:eastAsia="方正仿宋_GBK"/>
          <w:color w:val="auto"/>
          <w:spacing w:val="4"/>
          <w:sz w:val="30"/>
          <w:szCs w:val="30"/>
          <w:highlight w:val="none"/>
          <w:lang w:val="en-US" w:eastAsia="zh-CN"/>
        </w:rPr>
        <w:t>，切实</w:t>
      </w:r>
      <w:r>
        <w:rPr>
          <w:rFonts w:hint="eastAsia" w:ascii="Times New Roman" w:hAnsi="Times New Roman" w:eastAsia="方正仿宋_GBK" w:cs="Times New Roman"/>
          <w:color w:val="auto"/>
          <w:spacing w:val="0"/>
          <w:w w:val="100"/>
          <w:kern w:val="0"/>
          <w:sz w:val="30"/>
          <w:szCs w:val="30"/>
          <w:highlight w:val="none"/>
          <w:lang w:val="en-US" w:eastAsia="zh-CN"/>
        </w:rPr>
        <w:t>保障未成年人在网络空间的合法权益。</w:t>
      </w:r>
      <w:r>
        <w:rPr>
          <w:rFonts w:hint="eastAsia" w:eastAsia="方正仿宋_GBK" w:cs="Times New Roman"/>
          <w:b/>
          <w:bCs/>
          <w:color w:val="auto"/>
          <w:spacing w:val="0"/>
          <w:w w:val="100"/>
          <w:kern w:val="0"/>
          <w:sz w:val="30"/>
          <w:szCs w:val="30"/>
          <w:highlight w:val="none"/>
          <w:lang w:val="en-US" w:eastAsia="zh-CN"/>
        </w:rPr>
        <w:t>二</w:t>
      </w:r>
      <w:r>
        <w:rPr>
          <w:rFonts w:hint="eastAsia" w:ascii="Times New Roman" w:hAnsi="Times New Roman" w:eastAsia="方正仿宋_GBK" w:cs="Times New Roman"/>
          <w:b/>
          <w:bCs/>
          <w:color w:val="auto"/>
          <w:spacing w:val="0"/>
          <w:w w:val="100"/>
          <w:kern w:val="0"/>
          <w:sz w:val="30"/>
          <w:szCs w:val="30"/>
          <w:highlight w:val="none"/>
          <w:lang w:val="en-US" w:eastAsia="zh-CN"/>
        </w:rPr>
        <w:t>是</w:t>
      </w:r>
      <w:r>
        <w:rPr>
          <w:rFonts w:hint="eastAsia" w:ascii="Times New Roman" w:hAnsi="Times New Roman" w:eastAsia="方正仿宋_GBK" w:cs="Times New Roman"/>
          <w:color w:val="auto"/>
          <w:spacing w:val="0"/>
          <w:w w:val="100"/>
          <w:kern w:val="0"/>
          <w:sz w:val="30"/>
          <w:szCs w:val="30"/>
          <w:highlight w:val="none"/>
          <w:lang w:val="en-US" w:eastAsia="zh-CN"/>
        </w:rPr>
        <w:t>适应互联网传播规律，增强各类官方媒体的吸引力和影响力，加强内容输出和正向引导，</w:t>
      </w:r>
      <w:r>
        <w:rPr>
          <w:rFonts w:hint="eastAsia" w:ascii="Times New Roman" w:hAnsi="Times New Roman" w:eastAsia="方正仿宋_GBK" w:cs="方正仿宋_GBK"/>
          <w:color w:val="auto"/>
          <w:spacing w:val="0"/>
          <w:sz w:val="30"/>
          <w:szCs w:val="30"/>
          <w:highlight w:val="none"/>
          <w:lang w:eastAsia="zh-CN"/>
        </w:rPr>
        <w:t>帮助认知和行为正处于发展阶段的未成年人抵制泛娱乐化、不良网络亚文化、非理性消费等网络现象对其价值观塑造的负面影响</w:t>
      </w:r>
      <w:r>
        <w:rPr>
          <w:rFonts w:hint="eastAsia" w:ascii="Times New Roman" w:hAnsi="Times New Roman" w:eastAsia="方正仿宋_GBK" w:cs="Times New Roman"/>
          <w:color w:val="auto"/>
          <w:spacing w:val="0"/>
          <w:w w:val="100"/>
          <w:kern w:val="0"/>
          <w:sz w:val="30"/>
          <w:szCs w:val="30"/>
          <w:highlight w:val="none"/>
          <w:lang w:val="en-US" w:eastAsia="zh-CN"/>
        </w:rPr>
        <w:t>。</w:t>
      </w:r>
      <w:r>
        <w:rPr>
          <w:rFonts w:hint="default" w:ascii="Times New Roman" w:hAnsi="Times New Roman" w:eastAsia="方正仿宋_GBK" w:cs="Times New Roman"/>
          <w:b/>
          <w:bCs/>
          <w:color w:val="auto"/>
          <w:spacing w:val="0"/>
          <w:w w:val="100"/>
          <w:kern w:val="0"/>
          <w:sz w:val="30"/>
          <w:szCs w:val="30"/>
          <w:highlight w:val="none"/>
          <w:lang w:val="en-US" w:eastAsia="zh-CN"/>
        </w:rPr>
        <w:t>三</w:t>
      </w:r>
      <w:r>
        <w:rPr>
          <w:rFonts w:hint="eastAsia" w:ascii="Times New Roman" w:hAnsi="Times New Roman" w:eastAsia="方正仿宋_GBK" w:cs="Times New Roman"/>
          <w:b/>
          <w:bCs/>
          <w:color w:val="auto"/>
          <w:spacing w:val="0"/>
          <w:w w:val="100"/>
          <w:kern w:val="0"/>
          <w:sz w:val="30"/>
          <w:szCs w:val="30"/>
          <w:highlight w:val="none"/>
          <w:lang w:val="en-US" w:eastAsia="zh-CN"/>
        </w:rPr>
        <w:t>是</w:t>
      </w:r>
      <w:r>
        <w:rPr>
          <w:rFonts w:hint="eastAsia" w:ascii="Times New Roman" w:hAnsi="Times New Roman" w:eastAsia="方正仿宋_GBK" w:cs="Times New Roman"/>
          <w:color w:val="auto"/>
          <w:spacing w:val="0"/>
          <w:w w:val="100"/>
          <w:kern w:val="0"/>
          <w:sz w:val="30"/>
          <w:szCs w:val="30"/>
          <w:highlight w:val="none"/>
          <w:lang w:val="en-US" w:eastAsia="zh-CN"/>
        </w:rPr>
        <w:t>加快制定新型上网设备信息安全行业标准，对涉及图像、指纹、位置及用户个人信息等功能进行规范性要求，明确厂商和软件开发商的法律责任，切实加强未成年人隐私信息保护。</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00" w:firstLineChars="200"/>
        <w:textAlignment w:val="auto"/>
        <w:rPr>
          <w:rFonts w:hint="eastAsia" w:ascii="Times New Roman" w:hAnsi="Times New Roman" w:eastAsia="方正仿宋_GBK" w:cs="Times New Roman"/>
          <w:color w:val="auto"/>
          <w:spacing w:val="0"/>
          <w:w w:val="100"/>
          <w:kern w:val="0"/>
          <w:sz w:val="30"/>
          <w:szCs w:val="30"/>
          <w:highlight w:val="none"/>
          <w:lang w:val="en-US" w:eastAsia="zh-CN"/>
        </w:rPr>
      </w:pPr>
      <w:bookmarkStart w:id="75" w:name="_Toc113544254"/>
      <w:bookmarkStart w:id="76" w:name="_Toc36643150"/>
      <w:bookmarkStart w:id="77" w:name="_Toc113544251"/>
      <w:bookmarkStart w:id="78" w:name="_Toc72163257"/>
      <w:bookmarkStart w:id="79" w:name="_Toc38479174"/>
      <w:bookmarkStart w:id="80" w:name="_Toc113544253"/>
      <w:r>
        <w:rPr>
          <w:rFonts w:hint="eastAsia" w:ascii="Times New Roman" w:hAnsi="Times New Roman" w:eastAsia="方正仿宋_GBK" w:cs="Times New Roman"/>
          <w:color w:val="auto"/>
          <w:spacing w:val="0"/>
          <w:w w:val="100"/>
          <w:kern w:val="0"/>
          <w:sz w:val="30"/>
          <w:szCs w:val="30"/>
          <w:highlight w:val="none"/>
          <w:lang w:val="en-US" w:eastAsia="zh-CN"/>
        </w:rPr>
        <w:t xml:space="preserve">2. </w:t>
      </w:r>
      <w:bookmarkEnd w:id="75"/>
      <w:r>
        <w:rPr>
          <w:rFonts w:hint="eastAsia" w:ascii="Times New Roman" w:hAnsi="Times New Roman" w:eastAsia="方正楷体_GBK" w:cs="方正楷体_GBK"/>
          <w:color w:val="auto"/>
          <w:spacing w:val="0"/>
          <w:w w:val="100"/>
          <w:kern w:val="0"/>
          <w:sz w:val="30"/>
          <w:szCs w:val="30"/>
          <w:highlight w:val="none"/>
          <w:lang w:val="en-US" w:eastAsia="zh-CN"/>
        </w:rPr>
        <w:t>推动青少年模式改良升级</w:t>
      </w:r>
      <w:r>
        <w:rPr>
          <w:rFonts w:hint="eastAsia" w:eastAsia="方正楷体_GBK" w:cs="方正楷体_GBK"/>
          <w:color w:val="auto"/>
          <w:spacing w:val="0"/>
          <w:w w:val="100"/>
          <w:kern w:val="0"/>
          <w:sz w:val="30"/>
          <w:szCs w:val="30"/>
          <w:highlight w:val="none"/>
          <w:lang w:val="en-US" w:eastAsia="zh-CN"/>
        </w:rPr>
        <w:t>，在预防未成年人网络沉迷方面发挥更加积极作用</w:t>
      </w:r>
      <w:r>
        <w:rPr>
          <w:rFonts w:hint="eastAsia" w:ascii="Times New Roman" w:hAnsi="Times New Roman" w:eastAsia="方正仿宋_GBK" w:cs="Times New Roman"/>
          <w:color w:val="auto"/>
          <w:spacing w:val="0"/>
          <w:w w:val="100"/>
          <w:kern w:val="0"/>
          <w:sz w:val="30"/>
          <w:szCs w:val="30"/>
          <w:highlight w:val="none"/>
          <w:lang w:val="en-US" w:eastAsia="zh-CN"/>
        </w:rPr>
        <w:t>。</w:t>
      </w:r>
      <w:r>
        <w:rPr>
          <w:rFonts w:hint="eastAsia" w:ascii="Times New Roman" w:hAnsi="Times New Roman" w:eastAsia="方正仿宋_GBK" w:cs="Times New Roman"/>
          <w:b/>
          <w:bCs/>
          <w:color w:val="auto"/>
          <w:spacing w:val="0"/>
          <w:w w:val="100"/>
          <w:kern w:val="0"/>
          <w:sz w:val="30"/>
          <w:szCs w:val="30"/>
          <w:highlight w:val="none"/>
          <w:lang w:val="en-US" w:eastAsia="zh-CN"/>
        </w:rPr>
        <w:t>一是</w:t>
      </w:r>
      <w:r>
        <w:rPr>
          <w:rFonts w:hint="eastAsia" w:ascii="Times New Roman" w:hAnsi="Times New Roman" w:eastAsia="方正仿宋_GBK" w:cs="Times New Roman"/>
          <w:color w:val="auto"/>
          <w:spacing w:val="0"/>
          <w:w w:val="100"/>
          <w:kern w:val="0"/>
          <w:sz w:val="30"/>
          <w:szCs w:val="30"/>
          <w:highlight w:val="none"/>
          <w:lang w:val="en-US" w:eastAsia="zh-CN"/>
        </w:rPr>
        <w:t>推动网络平台更好履行社会责任，切实发挥青少年模式对不良及消极负面信息的阻断作用，避免成为形式上的保护工具。</w:t>
      </w:r>
      <w:r>
        <w:rPr>
          <w:rFonts w:hint="eastAsia" w:ascii="Times New Roman" w:hAnsi="Times New Roman" w:eastAsia="方正仿宋_GBK" w:cs="Times New Roman"/>
          <w:b/>
          <w:bCs/>
          <w:color w:val="auto"/>
          <w:spacing w:val="0"/>
          <w:w w:val="100"/>
          <w:kern w:val="0"/>
          <w:sz w:val="30"/>
          <w:szCs w:val="30"/>
          <w:highlight w:val="none"/>
          <w:lang w:val="en-US" w:eastAsia="zh-CN"/>
        </w:rPr>
        <w:t>二是</w:t>
      </w:r>
      <w:r>
        <w:rPr>
          <w:rFonts w:hint="eastAsia" w:ascii="Times New Roman" w:hAnsi="Times New Roman" w:eastAsia="方正仿宋_GBK" w:cs="Times New Roman"/>
          <w:color w:val="auto"/>
          <w:spacing w:val="0"/>
          <w:w w:val="100"/>
          <w:kern w:val="0"/>
          <w:sz w:val="30"/>
          <w:szCs w:val="30"/>
          <w:highlight w:val="none"/>
          <w:lang w:val="en-US" w:eastAsia="zh-CN"/>
        </w:rPr>
        <w:t>加强探索未成年人特质识别认证技术，完善未成年人身份识别机制，帮助监护人更好履行监督管理和保护职责。</w:t>
      </w:r>
      <w:r>
        <w:rPr>
          <w:rFonts w:hint="eastAsia" w:ascii="Times New Roman" w:hAnsi="Times New Roman" w:eastAsia="方正仿宋_GBK" w:cs="Times New Roman"/>
          <w:b/>
          <w:bCs/>
          <w:color w:val="auto"/>
          <w:spacing w:val="0"/>
          <w:w w:val="100"/>
          <w:kern w:val="0"/>
          <w:sz w:val="30"/>
          <w:szCs w:val="30"/>
          <w:highlight w:val="none"/>
          <w:lang w:val="en-US" w:eastAsia="zh-CN"/>
        </w:rPr>
        <w:t>三是</w:t>
      </w:r>
      <w:r>
        <w:rPr>
          <w:rFonts w:hint="eastAsia" w:ascii="Times New Roman" w:hAnsi="Times New Roman" w:eastAsia="方正仿宋_GBK" w:cs="Times New Roman"/>
          <w:color w:val="auto"/>
          <w:spacing w:val="0"/>
          <w:w w:val="100"/>
          <w:kern w:val="0"/>
          <w:sz w:val="30"/>
          <w:szCs w:val="30"/>
          <w:highlight w:val="none"/>
          <w:lang w:val="en-US" w:eastAsia="zh-CN"/>
        </w:rPr>
        <w:t>加强专属内容池建设，强化视频、短视频类平台内容审核，做好内容“加减法”，分级分类丰富和优化内容池资源供给，让青少年模式不仅能用、管用，更要让青少年好用、爱用。</w:t>
      </w:r>
      <w:r>
        <w:rPr>
          <w:rFonts w:hint="eastAsia" w:ascii="Times New Roman" w:hAnsi="Times New Roman" w:eastAsia="方正仿宋_GBK" w:cs="Times New Roman"/>
          <w:b/>
          <w:bCs/>
          <w:color w:val="auto"/>
          <w:spacing w:val="0"/>
          <w:w w:val="100"/>
          <w:kern w:val="0"/>
          <w:sz w:val="30"/>
          <w:szCs w:val="30"/>
          <w:highlight w:val="none"/>
          <w:lang w:val="en-US" w:eastAsia="zh-CN"/>
        </w:rPr>
        <w:t>四是</w:t>
      </w:r>
      <w:r>
        <w:rPr>
          <w:rFonts w:hint="eastAsia" w:ascii="Times New Roman" w:hAnsi="Times New Roman" w:eastAsia="方正仿宋_GBK" w:cs="Times New Roman"/>
          <w:color w:val="auto"/>
          <w:spacing w:val="0"/>
          <w:w w:val="100"/>
          <w:kern w:val="0"/>
          <w:sz w:val="30"/>
          <w:szCs w:val="30"/>
          <w:highlight w:val="none"/>
          <w:lang w:val="en-US" w:eastAsia="zh-CN"/>
        </w:rPr>
        <w:t>加强行业</w:t>
      </w:r>
      <w:r>
        <w:rPr>
          <w:rFonts w:hint="eastAsia" w:eastAsia="方正仿宋_GBK" w:cs="Times New Roman"/>
          <w:color w:val="auto"/>
          <w:spacing w:val="0"/>
          <w:w w:val="100"/>
          <w:kern w:val="0"/>
          <w:sz w:val="30"/>
          <w:szCs w:val="30"/>
          <w:highlight w:val="none"/>
          <w:lang w:val="en-US" w:eastAsia="zh-CN"/>
        </w:rPr>
        <w:t>自身建设和</w:t>
      </w:r>
      <w:r>
        <w:rPr>
          <w:rFonts w:hint="eastAsia" w:ascii="Times New Roman" w:hAnsi="Times New Roman" w:eastAsia="方正仿宋_GBK" w:cs="Times New Roman"/>
          <w:color w:val="auto"/>
          <w:spacing w:val="0"/>
          <w:w w:val="100"/>
          <w:kern w:val="0"/>
          <w:sz w:val="30"/>
          <w:szCs w:val="30"/>
          <w:highlight w:val="none"/>
          <w:lang w:val="en-US" w:eastAsia="zh-CN"/>
        </w:rPr>
        <w:t>协同联动，探索建立</w:t>
      </w:r>
      <w:r>
        <w:rPr>
          <w:rFonts w:hint="eastAsia" w:eastAsia="方正仿宋_GBK" w:cs="Times New Roman"/>
          <w:color w:val="auto"/>
          <w:spacing w:val="0"/>
          <w:w w:val="100"/>
          <w:kern w:val="0"/>
          <w:sz w:val="30"/>
          <w:szCs w:val="30"/>
          <w:highlight w:val="none"/>
          <w:lang w:val="en-US" w:eastAsia="zh-CN"/>
        </w:rPr>
        <w:t>更加精细化的行业</w:t>
      </w:r>
      <w:r>
        <w:rPr>
          <w:rFonts w:hint="eastAsia" w:ascii="Times New Roman" w:hAnsi="Times New Roman" w:eastAsia="方正仿宋_GBK" w:cs="Times New Roman"/>
          <w:color w:val="auto"/>
          <w:spacing w:val="0"/>
          <w:w w:val="100"/>
          <w:kern w:val="0"/>
          <w:sz w:val="30"/>
          <w:szCs w:val="30"/>
          <w:highlight w:val="none"/>
          <w:lang w:val="en-US" w:eastAsia="zh-CN"/>
        </w:rPr>
        <w:t>标准和账号互通机制，对未成年人从事网上娱乐活动时间进行“总量控制”，</w:t>
      </w:r>
      <w:r>
        <w:rPr>
          <w:rFonts w:hint="eastAsia" w:eastAsia="方正仿宋_GBK" w:cs="Times New Roman"/>
          <w:color w:val="auto"/>
          <w:spacing w:val="0"/>
          <w:w w:val="100"/>
          <w:kern w:val="0"/>
          <w:sz w:val="30"/>
          <w:szCs w:val="30"/>
          <w:highlight w:val="none"/>
          <w:lang w:val="en-US" w:eastAsia="zh-CN"/>
        </w:rPr>
        <w:t>从机制源头填补未成年人</w:t>
      </w:r>
      <w:r>
        <w:rPr>
          <w:rFonts w:hint="eastAsia" w:ascii="Times New Roman" w:hAnsi="Times New Roman" w:eastAsia="方正仿宋_GBK" w:cs="Times New Roman"/>
          <w:color w:val="auto"/>
          <w:spacing w:val="0"/>
          <w:w w:val="100"/>
          <w:kern w:val="0"/>
          <w:sz w:val="30"/>
          <w:szCs w:val="30"/>
          <w:highlight w:val="none"/>
          <w:lang w:val="en-US" w:eastAsia="zh-CN"/>
        </w:rPr>
        <w:t>网络</w:t>
      </w:r>
      <w:r>
        <w:rPr>
          <w:rFonts w:hint="eastAsia" w:eastAsia="方正仿宋_GBK" w:cs="Times New Roman"/>
          <w:color w:val="auto"/>
          <w:spacing w:val="0"/>
          <w:w w:val="100"/>
          <w:kern w:val="0"/>
          <w:sz w:val="30"/>
          <w:szCs w:val="30"/>
          <w:highlight w:val="none"/>
          <w:lang w:val="en-US" w:eastAsia="zh-CN"/>
        </w:rPr>
        <w:t>防</w:t>
      </w:r>
      <w:r>
        <w:rPr>
          <w:rFonts w:hint="eastAsia" w:ascii="Times New Roman" w:hAnsi="Times New Roman" w:eastAsia="方正仿宋_GBK" w:cs="Times New Roman"/>
          <w:color w:val="auto"/>
          <w:spacing w:val="0"/>
          <w:w w:val="100"/>
          <w:kern w:val="0"/>
          <w:sz w:val="30"/>
          <w:szCs w:val="30"/>
          <w:highlight w:val="none"/>
          <w:lang w:val="en-US" w:eastAsia="zh-CN"/>
        </w:rPr>
        <w:t>沉迷方面</w:t>
      </w:r>
      <w:r>
        <w:rPr>
          <w:rFonts w:hint="eastAsia" w:eastAsia="方正仿宋_GBK" w:cs="Times New Roman"/>
          <w:color w:val="auto"/>
          <w:spacing w:val="0"/>
          <w:w w:val="100"/>
          <w:kern w:val="0"/>
          <w:sz w:val="30"/>
          <w:szCs w:val="30"/>
          <w:highlight w:val="none"/>
          <w:lang w:val="en-US" w:eastAsia="zh-CN"/>
        </w:rPr>
        <w:t>存在的技术漏洞</w:t>
      </w:r>
      <w:r>
        <w:rPr>
          <w:rFonts w:hint="eastAsia" w:ascii="Times New Roman" w:hAnsi="Times New Roman" w:eastAsia="方正仿宋_GBK" w:cs="Times New Roman"/>
          <w:color w:val="auto"/>
          <w:spacing w:val="0"/>
          <w:w w:val="100"/>
          <w:kern w:val="0"/>
          <w:sz w:val="30"/>
          <w:szCs w:val="30"/>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right="0" w:rightChars="0" w:firstLine="600" w:firstLineChars="200"/>
        <w:textAlignment w:val="auto"/>
        <w:outlineLvl w:val="9"/>
        <w:rPr>
          <w:rFonts w:hint="eastAsia" w:ascii="Times New Roman" w:hAnsi="Times New Roman" w:eastAsia="方正仿宋_GBK" w:cs="Times New Roman"/>
          <w:color w:val="auto"/>
          <w:spacing w:val="0"/>
          <w:w w:val="100"/>
          <w:kern w:val="0"/>
          <w:sz w:val="30"/>
          <w:szCs w:val="30"/>
          <w:highlight w:val="none"/>
          <w:lang w:val="en-US" w:eastAsia="zh-CN"/>
        </w:rPr>
      </w:pPr>
      <w:r>
        <w:rPr>
          <w:rFonts w:hint="eastAsia" w:ascii="Times New Roman" w:hAnsi="Times New Roman" w:eastAsia="方正楷体_GBK" w:cs="Times New Roman"/>
          <w:color w:val="auto"/>
          <w:spacing w:val="0"/>
          <w:sz w:val="30"/>
          <w:szCs w:val="30"/>
          <w:highlight w:val="none"/>
          <w:lang w:val="en-US" w:eastAsia="zh-CN"/>
        </w:rPr>
        <w:t>3</w:t>
      </w:r>
      <w:r>
        <w:rPr>
          <w:rFonts w:hint="eastAsia" w:ascii="Times New Roman" w:hAnsi="Times New Roman" w:eastAsia="方正楷体_GBK" w:cs="方正楷体_GBK"/>
          <w:color w:val="auto"/>
          <w:spacing w:val="0"/>
          <w:sz w:val="30"/>
          <w:szCs w:val="30"/>
          <w:highlight w:val="none"/>
          <w:lang w:val="en-US" w:eastAsia="zh-CN"/>
        </w:rPr>
        <w:t>. 加强未成年人网络素养教育</w:t>
      </w:r>
      <w:r>
        <w:rPr>
          <w:rFonts w:hint="eastAsia" w:eastAsia="方正楷体_GBK" w:cs="方正楷体_GBK"/>
          <w:color w:val="auto"/>
          <w:spacing w:val="0"/>
          <w:sz w:val="30"/>
          <w:szCs w:val="30"/>
          <w:highlight w:val="none"/>
          <w:lang w:val="en-US" w:eastAsia="zh-CN"/>
        </w:rPr>
        <w:t>，提升农村未成年人互联网应用能力</w:t>
      </w:r>
      <w:r>
        <w:rPr>
          <w:rFonts w:hint="eastAsia" w:ascii="Times New Roman" w:hAnsi="Times New Roman" w:eastAsia="方正仿宋_GBK"/>
          <w:color w:val="auto"/>
          <w:spacing w:val="0"/>
          <w:sz w:val="30"/>
          <w:szCs w:val="30"/>
          <w:highlight w:val="none"/>
          <w:lang w:val="en-US" w:eastAsia="zh-CN"/>
        </w:rPr>
        <w:t>。</w:t>
      </w:r>
      <w:r>
        <w:rPr>
          <w:rFonts w:hint="eastAsia" w:ascii="Times New Roman" w:hAnsi="Times New Roman" w:eastAsia="方正仿宋_GBK" w:cs="方正仿宋_GBK"/>
          <w:b/>
          <w:bCs/>
          <w:color w:val="auto"/>
          <w:spacing w:val="0"/>
          <w:sz w:val="30"/>
          <w:szCs w:val="30"/>
          <w:highlight w:val="none"/>
          <w:lang w:val="en-US" w:eastAsia="zh-CN"/>
        </w:rPr>
        <w:t>一是</w:t>
      </w:r>
      <w:r>
        <w:rPr>
          <w:rFonts w:hint="eastAsia" w:ascii="Times New Roman" w:hAnsi="Times New Roman" w:eastAsia="方正仿宋_GBK" w:cs="方正仿宋_GBK"/>
          <w:color w:val="auto"/>
          <w:spacing w:val="0"/>
          <w:sz w:val="30"/>
          <w:szCs w:val="30"/>
          <w:highlight w:val="none"/>
          <w:lang w:val="en-US" w:eastAsia="zh-CN"/>
        </w:rPr>
        <w:t>根据不同年龄未成年人心智发展的特点和需求开展网络素养教育。面向小学生，重点引导其正确认识网络，养成良好上网习惯，提高信息辨别能力、时间管控能力以及隐私保护能力；面向中学生，重点引导其遵守网络规则，规范自己在互联网上的言行，借助互联网资源帮助学习，注意防范网络社交风险等。</w:t>
      </w:r>
      <w:r>
        <w:rPr>
          <w:rFonts w:hint="eastAsia" w:ascii="Times New Roman" w:hAnsi="Times New Roman" w:eastAsia="方正仿宋_GBK" w:cs="方正仿宋_GBK"/>
          <w:b/>
          <w:bCs/>
          <w:color w:val="auto"/>
          <w:spacing w:val="0"/>
          <w:sz w:val="30"/>
          <w:szCs w:val="30"/>
          <w:highlight w:val="none"/>
          <w:lang w:val="en-US" w:eastAsia="zh-CN"/>
        </w:rPr>
        <w:t>二是</w:t>
      </w:r>
      <w:bookmarkEnd w:id="76"/>
      <w:bookmarkEnd w:id="77"/>
      <w:bookmarkEnd w:id="78"/>
      <w:bookmarkEnd w:id="79"/>
      <w:r>
        <w:rPr>
          <w:rFonts w:hint="eastAsia" w:ascii="Times New Roman" w:hAnsi="Times New Roman" w:eastAsia="方正仿宋_GBK" w:cs="方正仿宋_GBK"/>
          <w:b w:val="0"/>
          <w:bCs w:val="0"/>
          <w:color w:val="auto"/>
          <w:spacing w:val="0"/>
          <w:sz w:val="30"/>
          <w:szCs w:val="30"/>
          <w:highlight w:val="none"/>
          <w:lang w:val="en-US" w:eastAsia="zh-CN"/>
        </w:rPr>
        <w:t>弥合城乡未成年人网络素养“鸿沟”。</w:t>
      </w:r>
      <w:r>
        <w:rPr>
          <w:rFonts w:hint="eastAsia" w:ascii="Times New Roman" w:hAnsi="Times New Roman" w:eastAsia="方正仿宋_GBK" w:cs="Times New Roman"/>
          <w:b w:val="0"/>
          <w:bCs w:val="0"/>
          <w:color w:val="auto"/>
          <w:spacing w:val="0"/>
          <w:w w:val="100"/>
          <w:kern w:val="0"/>
          <w:sz w:val="30"/>
          <w:szCs w:val="30"/>
          <w:highlight w:val="none"/>
          <w:lang w:val="en-US" w:eastAsia="zh-CN"/>
        </w:rPr>
        <w:t>加强农村地区，特别是留守儿童集中地区</w:t>
      </w:r>
      <w:r>
        <w:rPr>
          <w:rFonts w:hint="eastAsia" w:ascii="Times New Roman" w:hAnsi="Times New Roman" w:eastAsia="方正仿宋_GBK" w:cs="Times New Roman"/>
          <w:color w:val="auto"/>
          <w:spacing w:val="0"/>
          <w:w w:val="100"/>
          <w:kern w:val="0"/>
          <w:sz w:val="30"/>
          <w:szCs w:val="30"/>
          <w:highlight w:val="none"/>
          <w:lang w:val="en-US" w:eastAsia="zh-CN"/>
        </w:rPr>
        <w:t>中小学校网络常识、网络技能、网络规范、网络安全等方面的教育；引入社会力量，帮助农村地区家长更好承担起教导未成年人正确使用互联网的责任；针对农村未成年人互联网使用环境和使用需求推出相应服务，帮助他们更好利用网络助力学习生活</w:t>
      </w:r>
      <w:r>
        <w:rPr>
          <w:rFonts w:hint="eastAsia" w:eastAsia="方正仿宋_GBK" w:cs="Times New Roman"/>
          <w:color w:val="auto"/>
          <w:spacing w:val="0"/>
          <w:w w:val="100"/>
          <w:kern w:val="0"/>
          <w:sz w:val="30"/>
          <w:szCs w:val="30"/>
          <w:highlight w:val="none"/>
          <w:lang w:val="en-US" w:eastAsia="zh-CN"/>
        </w:rPr>
        <w:t>。</w:t>
      </w:r>
    </w:p>
    <w:bookmarkEnd w:id="80"/>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firstLine="600" w:firstLineChars="200"/>
        <w:textAlignment w:val="auto"/>
        <w:outlineLvl w:val="9"/>
        <w:rPr>
          <w:rFonts w:hint="eastAsia" w:ascii="Times New Roman" w:hAnsi="Times New Roman" w:eastAsia="方正仿宋_GBK" w:cs="方正仿宋_GBK"/>
          <w:color w:val="auto"/>
          <w:spacing w:val="4"/>
          <w:sz w:val="30"/>
          <w:szCs w:val="30"/>
          <w:highlight w:val="none"/>
          <w:lang w:val="en-US" w:eastAsia="zh-CN"/>
        </w:rPr>
      </w:pPr>
      <w:bookmarkStart w:id="81" w:name="_Toc113544255"/>
      <w:r>
        <w:rPr>
          <w:rFonts w:hint="eastAsia" w:ascii="Times New Roman" w:hAnsi="Times New Roman" w:eastAsia="方正仿宋_GBK" w:cs="Times New Roman"/>
          <w:color w:val="auto"/>
          <w:spacing w:val="0"/>
          <w:w w:val="100"/>
          <w:kern w:val="0"/>
          <w:sz w:val="30"/>
          <w:szCs w:val="30"/>
          <w:highlight w:val="none"/>
          <w:lang w:val="en-US" w:eastAsia="zh-CN"/>
        </w:rPr>
        <w:t xml:space="preserve">4. </w:t>
      </w:r>
      <w:r>
        <w:rPr>
          <w:rFonts w:hint="eastAsia" w:eastAsia="方正楷体_GBK" w:cs="方正楷体_GBK"/>
          <w:color w:val="auto"/>
          <w:spacing w:val="0"/>
          <w:w w:val="100"/>
          <w:kern w:val="0"/>
          <w:sz w:val="30"/>
          <w:szCs w:val="30"/>
          <w:highlight w:val="none"/>
          <w:lang w:val="en-US" w:eastAsia="zh-CN"/>
        </w:rPr>
        <w:t>学校、家庭、平台企业各尽其责，</w:t>
      </w:r>
      <w:r>
        <w:rPr>
          <w:rFonts w:hint="eastAsia" w:ascii="Times New Roman" w:hAnsi="Times New Roman" w:eastAsia="方正楷体_GBK" w:cs="方正楷体_GBK"/>
          <w:color w:val="auto"/>
          <w:spacing w:val="0"/>
          <w:w w:val="100"/>
          <w:kern w:val="0"/>
          <w:sz w:val="30"/>
          <w:szCs w:val="30"/>
          <w:highlight w:val="none"/>
          <w:lang w:val="en-US" w:eastAsia="zh-CN"/>
        </w:rPr>
        <w:t>形成未成年人网络保护工作合力</w:t>
      </w:r>
      <w:bookmarkEnd w:id="81"/>
      <w:r>
        <w:rPr>
          <w:rFonts w:hint="eastAsia" w:ascii="Times New Roman" w:hAnsi="Times New Roman" w:eastAsia="方正仿宋_GBK" w:cs="Times New Roman"/>
          <w:color w:val="auto"/>
          <w:spacing w:val="0"/>
          <w:w w:val="100"/>
          <w:kern w:val="0"/>
          <w:sz w:val="30"/>
          <w:szCs w:val="30"/>
          <w:highlight w:val="none"/>
          <w:lang w:val="en-US" w:eastAsia="zh-CN"/>
        </w:rPr>
        <w:t>。</w:t>
      </w:r>
      <w:r>
        <w:rPr>
          <w:rFonts w:hint="eastAsia" w:eastAsia="方正仿宋_GBK"/>
          <w:b/>
          <w:bCs/>
          <w:color w:val="auto"/>
          <w:spacing w:val="4"/>
          <w:sz w:val="30"/>
          <w:szCs w:val="30"/>
          <w:highlight w:val="none"/>
          <w:lang w:val="en-US" w:eastAsia="zh-CN"/>
        </w:rPr>
        <w:t>一</w:t>
      </w:r>
      <w:r>
        <w:rPr>
          <w:rFonts w:hint="eastAsia" w:ascii="Times New Roman" w:hAnsi="Times New Roman" w:eastAsia="方正仿宋_GBK" w:cs="Times New Roman"/>
          <w:b/>
          <w:bCs/>
          <w:color w:val="auto"/>
          <w:spacing w:val="0"/>
          <w:w w:val="100"/>
          <w:kern w:val="0"/>
          <w:sz w:val="30"/>
          <w:szCs w:val="30"/>
          <w:highlight w:val="none"/>
          <w:lang w:val="en-US" w:eastAsia="zh-CN"/>
        </w:rPr>
        <w:t>是</w:t>
      </w:r>
      <w:r>
        <w:rPr>
          <w:rFonts w:hint="eastAsia" w:ascii="Times New Roman" w:hAnsi="Times New Roman" w:eastAsia="方正仿宋_GBK" w:cs="Times New Roman"/>
          <w:color w:val="auto"/>
          <w:spacing w:val="0"/>
          <w:w w:val="100"/>
          <w:kern w:val="0"/>
          <w:sz w:val="30"/>
          <w:szCs w:val="30"/>
          <w:highlight w:val="none"/>
          <w:lang w:val="en-US" w:eastAsia="zh-Hans"/>
        </w:rPr>
        <w:t>推动学校发挥主阵地作用</w:t>
      </w:r>
      <w:r>
        <w:rPr>
          <w:rFonts w:hint="eastAsia" w:ascii="Times New Roman" w:hAnsi="Times New Roman" w:eastAsia="方正仿宋_GBK" w:cs="Times New Roman"/>
          <w:color w:val="auto"/>
          <w:spacing w:val="0"/>
          <w:w w:val="100"/>
          <w:kern w:val="0"/>
          <w:sz w:val="30"/>
          <w:szCs w:val="30"/>
          <w:highlight w:val="none"/>
          <w:lang w:val="en-US" w:eastAsia="zh-CN"/>
        </w:rPr>
        <w:t>，</w:t>
      </w:r>
      <w:r>
        <w:rPr>
          <w:rFonts w:hint="eastAsia" w:eastAsia="方正仿宋_GBK" w:cs="Times New Roman"/>
          <w:color w:val="auto"/>
          <w:spacing w:val="0"/>
          <w:w w:val="100"/>
          <w:kern w:val="0"/>
          <w:sz w:val="30"/>
          <w:szCs w:val="30"/>
          <w:highlight w:val="none"/>
          <w:lang w:val="en-US" w:eastAsia="zh-CN"/>
        </w:rPr>
        <w:t>规范未成年人校内上网管理，比如，落实教育部关于加强中小学生手机管理有关要求，禁止未成年人带手机进入课堂，严禁以信息化或分班教学为名强制学生购买平板电脑及学习软件等</w:t>
      </w:r>
      <w:r>
        <w:rPr>
          <w:rFonts w:hint="eastAsia" w:ascii="Times New Roman" w:hAnsi="Times New Roman" w:eastAsia="方正仿宋_GBK" w:cs="方正仿宋_GBK"/>
          <w:color w:val="auto"/>
          <w:spacing w:val="4"/>
          <w:sz w:val="30"/>
          <w:szCs w:val="30"/>
          <w:highlight w:val="none"/>
          <w:lang w:eastAsia="zh-CN"/>
        </w:rPr>
        <w:t>；</w:t>
      </w:r>
      <w:r>
        <w:rPr>
          <w:rFonts w:hint="eastAsia" w:ascii="Times New Roman" w:hAnsi="Times New Roman" w:eastAsia="方正仿宋_GBK" w:cs="Times New Roman"/>
          <w:color w:val="auto"/>
          <w:spacing w:val="0"/>
          <w:w w:val="100"/>
          <w:kern w:val="0"/>
          <w:sz w:val="30"/>
          <w:szCs w:val="30"/>
          <w:highlight w:val="none"/>
          <w:lang w:val="en-US" w:eastAsia="zh-CN"/>
        </w:rPr>
        <w:t>结合“双减”政策落地实施，组织开展丰富多彩的课外活动，帮助未成年人科学上网、健康成长。</w:t>
      </w:r>
      <w:r>
        <w:rPr>
          <w:rFonts w:hint="eastAsia" w:eastAsia="方正仿宋_GBK"/>
          <w:b/>
          <w:bCs/>
          <w:color w:val="auto"/>
          <w:spacing w:val="4"/>
          <w:sz w:val="30"/>
          <w:szCs w:val="30"/>
          <w:highlight w:val="none"/>
          <w:lang w:val="en-US" w:eastAsia="zh-CN"/>
        </w:rPr>
        <w:t>二</w:t>
      </w:r>
      <w:r>
        <w:rPr>
          <w:rFonts w:hint="eastAsia" w:ascii="Times New Roman" w:hAnsi="Times New Roman" w:eastAsia="方正仿宋_GBK"/>
          <w:b/>
          <w:bCs/>
          <w:color w:val="auto"/>
          <w:spacing w:val="4"/>
          <w:sz w:val="30"/>
          <w:szCs w:val="30"/>
          <w:highlight w:val="none"/>
          <w:lang w:val="en-US" w:eastAsia="zh-Hans"/>
        </w:rPr>
        <w:t>是</w:t>
      </w:r>
      <w:r>
        <w:rPr>
          <w:rFonts w:hint="eastAsia" w:ascii="Times New Roman" w:hAnsi="Times New Roman" w:eastAsia="方正仿宋_GBK"/>
          <w:color w:val="auto"/>
          <w:spacing w:val="4"/>
          <w:sz w:val="30"/>
          <w:szCs w:val="30"/>
          <w:highlight w:val="none"/>
          <w:lang w:val="en-US" w:eastAsia="zh-CN"/>
        </w:rPr>
        <w:t>强化</w:t>
      </w:r>
      <w:r>
        <w:rPr>
          <w:rFonts w:hint="eastAsia" w:ascii="Times New Roman" w:hAnsi="Times New Roman" w:eastAsia="方正仿宋_GBK"/>
          <w:color w:val="auto"/>
          <w:spacing w:val="4"/>
          <w:sz w:val="30"/>
          <w:szCs w:val="30"/>
          <w:highlight w:val="none"/>
          <w:lang w:val="en-US" w:eastAsia="zh-Hans"/>
        </w:rPr>
        <w:t>“家庭是第一课堂”</w:t>
      </w:r>
      <w:r>
        <w:rPr>
          <w:rFonts w:hint="eastAsia" w:ascii="Times New Roman" w:hAnsi="Times New Roman" w:eastAsia="方正仿宋_GBK"/>
          <w:color w:val="auto"/>
          <w:spacing w:val="4"/>
          <w:sz w:val="30"/>
          <w:szCs w:val="30"/>
          <w:highlight w:val="none"/>
          <w:lang w:val="en-US" w:eastAsia="zh-CN"/>
        </w:rPr>
        <w:t>的共识</w:t>
      </w:r>
      <w:r>
        <w:rPr>
          <w:rFonts w:hint="eastAsia" w:ascii="Times New Roman" w:hAnsi="Times New Roman" w:eastAsia="方正仿宋_GBK"/>
          <w:color w:val="auto"/>
          <w:spacing w:val="4"/>
          <w:sz w:val="30"/>
          <w:szCs w:val="30"/>
          <w:highlight w:val="none"/>
          <w:lang w:eastAsia="zh-CN"/>
        </w:rPr>
        <w:t>，帮助家长提升自身网络素养及正确管理未成年人上网的技能，倡导家长</w:t>
      </w:r>
      <w:r>
        <w:rPr>
          <w:rFonts w:hint="eastAsia" w:ascii="Times New Roman" w:hAnsi="Times New Roman" w:eastAsia="方正仿宋_GBK"/>
          <w:color w:val="auto"/>
          <w:spacing w:val="4"/>
          <w:sz w:val="30"/>
          <w:szCs w:val="30"/>
          <w:highlight w:val="none"/>
        </w:rPr>
        <w:t>以身作则</w:t>
      </w:r>
      <w:r>
        <w:rPr>
          <w:rFonts w:hint="eastAsia" w:ascii="Times New Roman" w:hAnsi="Times New Roman" w:eastAsia="方正仿宋_GBK"/>
          <w:color w:val="auto"/>
          <w:spacing w:val="4"/>
          <w:sz w:val="30"/>
          <w:szCs w:val="30"/>
          <w:highlight w:val="none"/>
          <w:lang w:eastAsia="zh-CN"/>
        </w:rPr>
        <w:t>为子女</w:t>
      </w:r>
      <w:r>
        <w:rPr>
          <w:rFonts w:hint="eastAsia" w:ascii="Times New Roman" w:hAnsi="Times New Roman" w:eastAsia="方正仿宋_GBK"/>
          <w:color w:val="auto"/>
          <w:spacing w:val="4"/>
          <w:sz w:val="30"/>
          <w:szCs w:val="30"/>
          <w:highlight w:val="none"/>
        </w:rPr>
        <w:t>树立良好榜样。</w:t>
      </w:r>
      <w:r>
        <w:rPr>
          <w:rFonts w:hint="eastAsia" w:eastAsia="方正仿宋_GBK"/>
          <w:b/>
          <w:bCs/>
          <w:color w:val="auto"/>
          <w:spacing w:val="4"/>
          <w:sz w:val="30"/>
          <w:szCs w:val="30"/>
          <w:highlight w:val="none"/>
          <w:lang w:val="en-US" w:eastAsia="zh-CN"/>
        </w:rPr>
        <w:t>三</w:t>
      </w:r>
      <w:r>
        <w:rPr>
          <w:rFonts w:hint="eastAsia" w:ascii="Times New Roman" w:hAnsi="Times New Roman" w:eastAsia="方正仿宋_GBK"/>
          <w:b/>
          <w:bCs/>
          <w:color w:val="auto"/>
          <w:spacing w:val="4"/>
          <w:sz w:val="30"/>
          <w:szCs w:val="30"/>
          <w:highlight w:val="none"/>
          <w:lang w:eastAsia="zh-CN"/>
        </w:rPr>
        <w:t>是</w:t>
      </w:r>
      <w:r>
        <w:rPr>
          <w:rFonts w:hint="eastAsia" w:ascii="Times New Roman" w:hAnsi="Times New Roman" w:eastAsia="方正仿宋_GBK" w:cs="方正仿宋_GBK"/>
          <w:color w:val="auto"/>
          <w:spacing w:val="4"/>
          <w:sz w:val="30"/>
          <w:szCs w:val="30"/>
          <w:highlight w:val="none"/>
          <w:lang w:val="en-US" w:eastAsia="zh-Hans"/>
        </w:rPr>
        <w:t>树立</w:t>
      </w:r>
      <w:r>
        <w:rPr>
          <w:rFonts w:hint="default" w:ascii="Times New Roman" w:hAnsi="Times New Roman" w:eastAsia="方正仿宋_GBK" w:cs="方正仿宋_GBK"/>
          <w:color w:val="auto"/>
          <w:spacing w:val="4"/>
          <w:sz w:val="30"/>
          <w:szCs w:val="30"/>
          <w:highlight w:val="none"/>
          <w:lang w:eastAsia="zh-Hans"/>
        </w:rPr>
        <w:t>奖善罚过导向，推动平台企业落实主体责任，</w:t>
      </w:r>
      <w:r>
        <w:rPr>
          <w:rFonts w:hint="eastAsia" w:ascii="Times New Roman" w:hAnsi="Times New Roman" w:eastAsia="方正仿宋_GBK" w:cs="方正仿宋_GBK"/>
          <w:color w:val="auto"/>
          <w:spacing w:val="4"/>
          <w:sz w:val="30"/>
          <w:szCs w:val="30"/>
          <w:highlight w:val="none"/>
          <w:lang w:eastAsia="zh-CN"/>
        </w:rPr>
        <w:t>在产品开发运维方面</w:t>
      </w:r>
      <w:r>
        <w:rPr>
          <w:rFonts w:hint="eastAsia" w:ascii="Times New Roman" w:hAnsi="Times New Roman" w:eastAsia="方正仿宋_GBK" w:cs="方正仿宋_GBK"/>
          <w:color w:val="auto"/>
          <w:spacing w:val="4"/>
          <w:sz w:val="30"/>
          <w:szCs w:val="30"/>
          <w:highlight w:val="none"/>
          <w:lang w:val="en-US" w:eastAsia="zh-Hans"/>
        </w:rPr>
        <w:t>兼顾经济利益与社会效应</w:t>
      </w:r>
      <w:r>
        <w:rPr>
          <w:rFonts w:hint="eastAsia" w:eastAsia="方正仿宋_GBK" w:cs="方正仿宋_GBK"/>
          <w:color w:val="auto"/>
          <w:spacing w:val="4"/>
          <w:sz w:val="30"/>
          <w:szCs w:val="30"/>
          <w:highlight w:val="none"/>
          <w:lang w:val="en-US" w:eastAsia="zh-CN"/>
        </w:rPr>
        <w:t>，</w:t>
      </w:r>
      <w:r>
        <w:rPr>
          <w:rFonts w:hint="eastAsia" w:ascii="Times New Roman" w:hAnsi="Times New Roman" w:eastAsia="方正仿宋_GBK" w:cs="方正仿宋_GBK"/>
          <w:color w:val="auto"/>
          <w:spacing w:val="4"/>
          <w:sz w:val="30"/>
          <w:szCs w:val="30"/>
          <w:highlight w:val="none"/>
          <w:lang w:val="en-US" w:eastAsia="zh-Hans"/>
        </w:rPr>
        <w:t>把未成年人网络保护作为企业发展的底线</w:t>
      </w:r>
      <w:r>
        <w:rPr>
          <w:rFonts w:hint="eastAsia" w:ascii="Times New Roman" w:hAnsi="Times New Roman" w:eastAsia="方正仿宋_GBK" w:cs="方正仿宋_GBK"/>
          <w:color w:val="auto"/>
          <w:spacing w:val="4"/>
          <w:sz w:val="30"/>
          <w:szCs w:val="30"/>
          <w:highlight w:val="none"/>
          <w:lang w:eastAsia="zh-CN"/>
        </w:rPr>
        <w:t>；</w:t>
      </w:r>
      <w:r>
        <w:rPr>
          <w:rFonts w:hint="default" w:ascii="Times New Roman" w:hAnsi="Times New Roman" w:eastAsia="方正仿宋_GBK" w:cs="方正仿宋_GBK"/>
          <w:color w:val="auto"/>
          <w:spacing w:val="4"/>
          <w:sz w:val="30"/>
          <w:szCs w:val="30"/>
          <w:highlight w:val="none"/>
          <w:lang w:eastAsia="zh-Hans"/>
        </w:rPr>
        <w:t>加强行业自律，发挥协会组织作用，</w:t>
      </w:r>
      <w:r>
        <w:rPr>
          <w:rFonts w:hint="eastAsia" w:eastAsia="方正仿宋_GBK" w:cs="方正仿宋_GBK"/>
          <w:color w:val="auto"/>
          <w:spacing w:val="4"/>
          <w:sz w:val="30"/>
          <w:szCs w:val="30"/>
          <w:highlight w:val="none"/>
          <w:lang w:val="en-US" w:eastAsia="zh-CN"/>
        </w:rPr>
        <w:t>特别是加强对未成年用户规模较大的视频、短视频类平台和账号的监管力度，建立便捷、合理、有效的投诉和举报渠道，</w:t>
      </w:r>
      <w:r>
        <w:rPr>
          <w:rFonts w:hint="default" w:ascii="Times New Roman" w:hAnsi="Times New Roman" w:eastAsia="方正仿宋_GBK" w:cs="方正仿宋_GBK"/>
          <w:color w:val="auto"/>
          <w:spacing w:val="4"/>
          <w:sz w:val="30"/>
          <w:szCs w:val="30"/>
          <w:highlight w:val="none"/>
          <w:lang w:eastAsia="zh-Hans"/>
        </w:rPr>
        <w:t>共同</w:t>
      </w:r>
      <w:r>
        <w:rPr>
          <w:rFonts w:hint="eastAsia" w:eastAsia="方正仿宋_GBK" w:cs="方正仿宋_GBK"/>
          <w:color w:val="auto"/>
          <w:spacing w:val="4"/>
          <w:sz w:val="30"/>
          <w:szCs w:val="30"/>
          <w:highlight w:val="none"/>
          <w:lang w:val="en-US" w:eastAsia="zh-CN"/>
        </w:rPr>
        <w:t>为</w:t>
      </w:r>
      <w:r>
        <w:rPr>
          <w:rFonts w:hint="eastAsia" w:ascii="Times New Roman" w:hAnsi="Times New Roman" w:eastAsia="方正仿宋_GBK" w:cs="方正仿宋_GBK"/>
          <w:color w:val="auto"/>
          <w:spacing w:val="4"/>
          <w:sz w:val="30"/>
          <w:szCs w:val="30"/>
          <w:highlight w:val="none"/>
          <w:lang w:eastAsia="zh-CN"/>
        </w:rPr>
        <w:t>未成年人</w:t>
      </w:r>
      <w:r>
        <w:rPr>
          <w:rFonts w:hint="eastAsia" w:eastAsia="方正仿宋_GBK" w:cs="方正仿宋_GBK"/>
          <w:color w:val="auto"/>
          <w:spacing w:val="4"/>
          <w:sz w:val="30"/>
          <w:szCs w:val="30"/>
          <w:highlight w:val="none"/>
          <w:lang w:val="en-US" w:eastAsia="zh-CN"/>
        </w:rPr>
        <w:t>健康成长营造良好网络环境</w:t>
      </w:r>
      <w:r>
        <w:rPr>
          <w:rFonts w:hint="default" w:ascii="Times New Roman" w:hAnsi="Times New Roman" w:eastAsia="方正仿宋_GBK" w:cs="方正仿宋_GBK"/>
          <w:color w:val="auto"/>
          <w:spacing w:val="4"/>
          <w:sz w:val="30"/>
          <w:szCs w:val="30"/>
          <w:highlight w:val="none"/>
          <w:lang w:eastAsia="zh-Hans"/>
        </w:rPr>
        <w:t>。</w:t>
      </w:r>
    </w:p>
    <w:p>
      <w:pPr>
        <w:spacing w:line="520" w:lineRule="exact"/>
        <w:rPr>
          <w:rFonts w:eastAsia="方正仿宋_GBK"/>
          <w:sz w:val="30"/>
          <w:szCs w:val="30"/>
        </w:rPr>
      </w:pPr>
    </w:p>
    <w:p>
      <w:pPr>
        <w:pStyle w:val="50"/>
        <w:numPr>
          <w:ilvl w:val="0"/>
          <w:numId w:val="1"/>
        </w:numPr>
        <w:ind w:firstLineChars="0"/>
      </w:pPr>
      <w:r>
        <w:br w:type="page"/>
      </w:r>
    </w:p>
    <w:p>
      <w:pPr>
        <w:spacing w:line="560" w:lineRule="exact"/>
        <w:jc w:val="center"/>
        <w:outlineLvl w:val="0"/>
        <w:rPr>
          <w:rFonts w:eastAsia="方正小标宋简体" w:cs="方正小标宋简体"/>
          <w:sz w:val="40"/>
          <w:szCs w:val="40"/>
        </w:rPr>
      </w:pPr>
      <w:bookmarkStart w:id="82" w:name="_Toc1808496340"/>
      <w:r>
        <w:rPr>
          <w:rFonts w:hint="eastAsia" w:eastAsia="方正小标宋简体" w:cs="方正小标宋简体"/>
          <w:sz w:val="40"/>
          <w:szCs w:val="40"/>
        </w:rPr>
        <w:t>第一章  未成年人互联网普及情况</w:t>
      </w:r>
      <w:bookmarkEnd w:id="82"/>
    </w:p>
    <w:p>
      <w:pPr>
        <w:pStyle w:val="50"/>
        <w:spacing w:line="560" w:lineRule="exact"/>
        <w:ind w:left="420" w:firstLine="0" w:firstLineChars="0"/>
        <w:rPr>
          <w:rFonts w:eastAsia="方正黑体_GBK" w:cs="方正黑体_GBK"/>
          <w:bCs/>
          <w:sz w:val="30"/>
          <w:szCs w:val="30"/>
        </w:rPr>
      </w:pPr>
    </w:p>
    <w:p>
      <w:pPr>
        <w:pStyle w:val="50"/>
        <w:spacing w:line="560" w:lineRule="exact"/>
        <w:ind w:firstLine="600"/>
        <w:outlineLvl w:val="1"/>
        <w:rPr>
          <w:rFonts w:eastAsia="方正黑体_GBK" w:cs="方正黑体_GBK"/>
          <w:bCs/>
          <w:sz w:val="30"/>
          <w:szCs w:val="30"/>
        </w:rPr>
      </w:pPr>
      <w:bookmarkStart w:id="83" w:name="_Toc2033745341"/>
      <w:r>
        <w:rPr>
          <w:rFonts w:hint="eastAsia" w:eastAsia="方正黑体_GBK" w:cs="方正黑体_GBK"/>
          <w:bCs/>
          <w:sz w:val="30"/>
          <w:szCs w:val="30"/>
        </w:rPr>
        <w:t>一、未成年网民规模及普及率</w:t>
      </w:r>
      <w:bookmarkEnd w:id="83"/>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数据显示，2018年以来，我国未成年网民规模连续四年保持增长态势。2021年达到1.91亿，未成年人互联网普及率为96.8%，较2020年（94.9%）提升1.9个百分点。</w:t>
      </w:r>
    </w:p>
    <w:p>
      <w:pPr>
        <w:keepNext/>
        <w:jc w:val="center"/>
      </w:pPr>
      <w:r>
        <w:rPr>
          <w:color w:val="000000" w:themeColor="text1"/>
          <w14:textFill>
            <w14:solidFill>
              <w14:schemeClr w14:val="tx1"/>
            </w14:solidFill>
          </w14:textFill>
        </w:rPr>
        <w:drawing>
          <wp:inline distT="0" distB="0" distL="0" distR="0">
            <wp:extent cx="4326890" cy="3151505"/>
            <wp:effectExtent l="0" t="0" r="0" b="0"/>
            <wp:docPr id="95" name="图表 95"/>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pPr>
        <w:pStyle w:val="10"/>
        <w:jc w:val="center"/>
        <w:rPr>
          <w:rFonts w:ascii="Times New Roman" w:hAnsi="Times New Roman" w:eastAsia="方正楷体_GBK" w:cs="Times New Roman"/>
          <w:sz w:val="24"/>
          <w:szCs w:val="24"/>
        </w:rPr>
      </w:pPr>
      <w:bookmarkStart w:id="84" w:name="_Toc113023899"/>
      <w:r>
        <w:rPr>
          <w:rFonts w:ascii="Times New Roman" w:hAnsi="Times New Roman" w:eastAsia="方正楷体_GBK" w:cs="Times New Roman"/>
          <w:sz w:val="24"/>
          <w:szCs w:val="24"/>
        </w:rPr>
        <w:t>图</w:t>
      </w:r>
      <w:r>
        <w:rPr>
          <w:rFonts w:hint="eastAsia" w:ascii="Times New Roman" w:hAnsi="Times New Roman" w:eastAsia="方正楷体_GBK" w:cs="Times New Roman"/>
          <w:sz w:val="24"/>
          <w:szCs w:val="24"/>
        </w:rPr>
        <w:t xml:space="preserve">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SEQ 图 \* ARABIC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1</w:t>
      </w:r>
      <w:r>
        <w:rPr>
          <w:rFonts w:ascii="Times New Roman" w:hAnsi="Times New Roman" w:eastAsia="方正楷体_GBK" w:cs="Times New Roman"/>
          <w:sz w:val="24"/>
          <w:szCs w:val="24"/>
        </w:rPr>
        <w:fldChar w:fldCharType="end"/>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 xml:space="preserve"> </w:t>
      </w:r>
      <w:r>
        <w:rPr>
          <w:rFonts w:ascii="Times New Roman" w:hAnsi="Times New Roman" w:eastAsia="方正楷体_GBK" w:cs="Times New Roman"/>
          <w:sz w:val="24"/>
          <w:szCs w:val="24"/>
        </w:rPr>
        <w:t>2018—2021年全国未成年网民规模与互联网普及率</w:t>
      </w:r>
      <w:bookmarkEnd w:id="84"/>
    </w:p>
    <w:p>
      <w:pPr>
        <w:pStyle w:val="50"/>
        <w:spacing w:line="560" w:lineRule="exact"/>
        <w:ind w:firstLine="600"/>
        <w:outlineLvl w:val="1"/>
        <w:rPr>
          <w:rFonts w:eastAsia="方正黑体_GBK" w:cs="方正黑体_GBK"/>
          <w:bCs/>
          <w:sz w:val="30"/>
          <w:szCs w:val="30"/>
        </w:rPr>
      </w:pPr>
      <w:bookmarkStart w:id="85" w:name="_Toc241278403"/>
      <w:r>
        <w:rPr>
          <w:rFonts w:hint="eastAsia" w:eastAsia="方正黑体_GBK" w:cs="方正黑体_GBK"/>
          <w:bCs/>
          <w:sz w:val="30"/>
          <w:szCs w:val="30"/>
        </w:rPr>
        <w:t>二、城乡未成年人互联网普及率</w:t>
      </w:r>
      <w:bookmarkEnd w:id="85"/>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2018年以来，城乡未成年人互联网普及率差距持续缩小，由2018年的5.4个百分点下降至2019年的3.6个百分点、2020年的0.3个百分点。2021年城镇未成年人的互联网普及率为96.7%，农村未成年人的互联网普及率为97.3%，分别较2020年提升1.7个百分点和2.6个百分点。农村未成年人互联网普及率首次超过城镇。</w:t>
      </w:r>
    </w:p>
    <w:p>
      <w:pPr>
        <w:keepNext/>
        <w:jc w:val="center"/>
      </w:pPr>
      <w:r>
        <w:drawing>
          <wp:inline distT="0" distB="0" distL="114300" distR="114300">
            <wp:extent cx="4572000" cy="2200275"/>
            <wp:effectExtent l="0" t="0" r="0" b="952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pPr>
        <w:pStyle w:val="10"/>
        <w:jc w:val="center"/>
        <w:rPr>
          <w:rFonts w:ascii="Times New Roman" w:hAnsi="Times New Roman" w:eastAsia="方正楷体_GBK" w:cs="Times New Roman"/>
          <w:sz w:val="24"/>
          <w:szCs w:val="24"/>
        </w:rPr>
      </w:pPr>
      <w:bookmarkStart w:id="86" w:name="_Toc113023900"/>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2</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rPr>
        <w:t xml:space="preserve">  2018—2021年城乡未成年人互联网普及率</w:t>
      </w:r>
      <w:bookmarkEnd w:id="86"/>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进一步分析发现，小学阶段，城镇未成年人互联网普及率比农村高0.8个百分点，初中开始，农村未成年人互联网普及率高于城镇，高中差距最大，为1.5个百分点。</w:t>
      </w:r>
    </w:p>
    <w:p>
      <w:pPr>
        <w:pStyle w:val="10"/>
        <w:jc w:val="center"/>
        <w:rPr>
          <w:rFonts w:ascii="Times New Roman" w:hAnsi="Times New Roman" w:eastAsia="方正楷体_GBK" w:cs="Times New Roman"/>
          <w:sz w:val="24"/>
          <w:szCs w:val="24"/>
        </w:rPr>
      </w:pPr>
      <w:r>
        <w:drawing>
          <wp:anchor distT="0" distB="0" distL="114300" distR="114300" simplePos="0" relativeHeight="251663360" behindDoc="0" locked="0" layoutInCell="1" allowOverlap="1">
            <wp:simplePos x="0" y="0"/>
            <wp:positionH relativeFrom="column">
              <wp:posOffset>521970</wp:posOffset>
            </wp:positionH>
            <wp:positionV relativeFrom="paragraph">
              <wp:posOffset>152400</wp:posOffset>
            </wp:positionV>
            <wp:extent cx="4572000" cy="2517140"/>
            <wp:effectExtent l="0" t="0" r="0" b="16510"/>
            <wp:wrapTopAndBottom/>
            <wp:docPr id="20"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anchor>
        </w:drawing>
      </w:r>
      <w:r>
        <w:rPr>
          <w:rFonts w:hint="eastAsia" w:ascii="Times New Roman" w:hAnsi="Times New Roman" w:eastAsia="方正楷体_GBK" w:cs="Times New Roman"/>
          <w:sz w:val="24"/>
          <w:szCs w:val="24"/>
        </w:rPr>
        <w:t>图 3 不同学历段城乡未成年人互联网普及率</w:t>
      </w:r>
    </w:p>
    <w:p>
      <w:pPr>
        <w:pStyle w:val="50"/>
        <w:spacing w:line="560" w:lineRule="exact"/>
        <w:ind w:firstLine="600"/>
        <w:outlineLvl w:val="1"/>
        <w:rPr>
          <w:rFonts w:eastAsia="方正黑体_GBK" w:cs="方正黑体_GBK"/>
          <w:bCs/>
          <w:sz w:val="30"/>
          <w:szCs w:val="30"/>
        </w:rPr>
      </w:pPr>
      <w:bookmarkStart w:id="87" w:name="_Toc649062089"/>
      <w:r>
        <w:rPr>
          <w:rFonts w:hint="eastAsia" w:eastAsia="方正黑体_GBK" w:cs="方正黑体_GBK"/>
          <w:bCs/>
          <w:sz w:val="30"/>
          <w:szCs w:val="30"/>
        </w:rPr>
        <w:t>三、不同学历段未成年人互联网普及率</w:t>
      </w:r>
      <w:bookmarkEnd w:id="87"/>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小学生、初中生互联网普及率进一步提升。2021年小学生互联网普及率达到95.0%，较2020年（92.1%）提升2.9个百分点；初中生互联网普及率达到99.4%，较2020年（98.1%）提升1.3个百分点。高中和中等职业教育学生的互联网普及率分别为98.4%和98.8%，与2020年差异不大。</w:t>
      </w:r>
    </w:p>
    <w:p>
      <w:pPr>
        <w:keepNext/>
        <w:jc w:val="center"/>
      </w:pPr>
      <w:r>
        <w:rPr>
          <w:rFonts w:hint="eastAsia"/>
        </w:rPr>
        <w:drawing>
          <wp:inline distT="0" distB="0" distL="0" distR="0">
            <wp:extent cx="4981575" cy="2499995"/>
            <wp:effectExtent l="0" t="0" r="0" b="0"/>
            <wp:docPr id="8"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pPr>
        <w:pStyle w:val="10"/>
        <w:jc w:val="center"/>
        <w:rPr>
          <w:rFonts w:ascii="Times New Roman" w:hAnsi="Times New Roman" w:eastAsia="方正楷体_GBK" w:cs="Times New Roman"/>
          <w:sz w:val="24"/>
          <w:szCs w:val="24"/>
        </w:rPr>
      </w:pPr>
      <w:bookmarkStart w:id="88" w:name="_Toc113023901"/>
      <w:r>
        <w:rPr>
          <w:rFonts w:hint="eastAsia" w:ascii="Times New Roman" w:hAnsi="Times New Roman" w:eastAsia="方正楷体_GBK" w:cs="Times New Roman"/>
          <w:sz w:val="24"/>
          <w:szCs w:val="24"/>
        </w:rPr>
        <w:t>图 4</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不同学历段未成年人互联网普及率</w:t>
      </w:r>
      <w:bookmarkEnd w:id="88"/>
    </w:p>
    <w:p>
      <w:pPr>
        <w:pStyle w:val="50"/>
        <w:spacing w:line="560" w:lineRule="exact"/>
        <w:ind w:firstLine="600"/>
        <w:outlineLvl w:val="1"/>
        <w:rPr>
          <w:rFonts w:eastAsia="方正黑体_GBK" w:cs="方正黑体_GBK"/>
          <w:bCs/>
          <w:sz w:val="30"/>
          <w:szCs w:val="30"/>
        </w:rPr>
      </w:pPr>
      <w:bookmarkStart w:id="89" w:name="_Toc1405259522"/>
      <w:r>
        <w:rPr>
          <w:rFonts w:hint="eastAsia" w:eastAsia="方正黑体_GBK" w:cs="方正黑体_GBK"/>
          <w:bCs/>
          <w:sz w:val="30"/>
          <w:szCs w:val="30"/>
        </w:rPr>
        <w:t>四、未成年人首次上网时间</w:t>
      </w:r>
      <w:bookmarkEnd w:id="89"/>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未成年人接触互联网的低龄化趋势更加明显。大部分未成年人在上小学时或上小学前就开始使用互联网，而且年龄越小该比例越高。小学生在上小学前首次使用互联网的比例达到28.2%，初中、高中、中等职业教育学生在上小学前接触互联网的比例都在20%左右。</w:t>
      </w:r>
    </w:p>
    <w:p>
      <w:pPr>
        <w:keepNext/>
        <w:jc w:val="center"/>
      </w:pPr>
      <w:r>
        <w:rPr>
          <w:rFonts w:hint="eastAsia"/>
        </w:rPr>
        <w:drawing>
          <wp:inline distT="0" distB="0" distL="0" distR="0">
            <wp:extent cx="4981575" cy="2361565"/>
            <wp:effectExtent l="0" t="0" r="0" b="0"/>
            <wp:docPr id="26"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pPr>
        <w:pStyle w:val="10"/>
        <w:jc w:val="center"/>
        <w:rPr>
          <w:rFonts w:ascii="Times New Roman" w:hAnsi="Times New Roman" w:eastAsia="方正楷体_GBK" w:cs="Times New Roman"/>
          <w:sz w:val="24"/>
          <w:szCs w:val="24"/>
        </w:rPr>
      </w:pPr>
      <w:bookmarkStart w:id="90" w:name="_Toc113023902"/>
      <w:r>
        <w:rPr>
          <w:rFonts w:hint="eastAsia" w:ascii="Times New Roman" w:hAnsi="Times New Roman" w:eastAsia="方正楷体_GBK" w:cs="Times New Roman"/>
          <w:sz w:val="24"/>
          <w:szCs w:val="24"/>
        </w:rPr>
        <w:t>图 5</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不同学历段未成年人首次上网的时间</w:t>
      </w:r>
      <w:bookmarkEnd w:id="90"/>
    </w:p>
    <w:p>
      <w:pPr>
        <w:pStyle w:val="50"/>
        <w:spacing w:line="560" w:lineRule="exact"/>
        <w:ind w:firstLine="600"/>
        <w:rPr>
          <w:rFonts w:eastAsia="方正黑体_GBK" w:cs="方正黑体_GBK"/>
          <w:bCs/>
          <w:sz w:val="30"/>
          <w:szCs w:val="30"/>
        </w:rPr>
      </w:pPr>
      <w:bookmarkStart w:id="91" w:name="_Toc113544195"/>
    </w:p>
    <w:p>
      <w:pPr>
        <w:pStyle w:val="50"/>
        <w:spacing w:line="560" w:lineRule="exact"/>
        <w:ind w:firstLine="600"/>
        <w:rPr>
          <w:rFonts w:eastAsia="方正黑体_GBK" w:cs="方正黑体_GBK"/>
          <w:bCs/>
          <w:sz w:val="30"/>
          <w:szCs w:val="30"/>
        </w:rPr>
      </w:pPr>
      <w:r>
        <w:rPr>
          <w:rFonts w:hint="eastAsia" w:eastAsia="方正黑体_GBK" w:cs="方正黑体_GBK"/>
          <w:bCs/>
          <w:sz w:val="30"/>
          <w:szCs w:val="30"/>
        </w:rPr>
        <w:t>【本章小结</w:t>
      </w:r>
      <w:bookmarkEnd w:id="91"/>
      <w:r>
        <w:rPr>
          <w:rFonts w:hint="eastAsia" w:eastAsia="方正黑体_GBK" w:cs="方正黑体_GBK"/>
          <w:bCs/>
          <w:sz w:val="30"/>
          <w:szCs w:val="30"/>
        </w:rPr>
        <w:t>】</w:t>
      </w: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未成年人的互联网普及情况呈现以下三个主要特点：一是未成年人的整体互联网普及率进一步提升，2021年达96.8%，较2020年提升1.9个百分点。二是城乡未成年人互联网普及率差距自2018年以来持续缩小，2021年城镇未成年人互联网普及率为96.7%，农村未成年人互联网普及率为97.3%；除小学外，其他学历段农村未成年人互联网普及率高于城镇。三是互联网对未成年群体渗透的低龄化趋势更加明显，小学生的互联网普及率达95.0%，28.2%的小学生在上学前就已经接触互联网。</w:t>
      </w:r>
    </w:p>
    <w:p>
      <w:pPr>
        <w:widowControl/>
        <w:spacing w:line="240" w:lineRule="auto"/>
      </w:pPr>
      <w:r>
        <w:br w:type="page"/>
      </w:r>
    </w:p>
    <w:p>
      <w:pPr>
        <w:spacing w:line="560" w:lineRule="exact"/>
        <w:jc w:val="center"/>
        <w:outlineLvl w:val="0"/>
        <w:rPr>
          <w:rFonts w:eastAsia="方正小标宋简体" w:cs="方正小标宋简体"/>
          <w:sz w:val="40"/>
          <w:szCs w:val="40"/>
        </w:rPr>
      </w:pPr>
      <w:bookmarkStart w:id="92" w:name="_Toc468240777"/>
      <w:r>
        <w:rPr>
          <w:rFonts w:hint="eastAsia" w:eastAsia="方正小标宋简体" w:cs="方正小标宋简体"/>
          <w:sz w:val="40"/>
          <w:szCs w:val="40"/>
        </w:rPr>
        <w:t>第二章  未成年人互联网接入环境</w:t>
      </w:r>
      <w:bookmarkEnd w:id="92"/>
    </w:p>
    <w:p>
      <w:pPr>
        <w:autoSpaceDE w:val="0"/>
        <w:autoSpaceDN w:val="0"/>
        <w:adjustRightInd w:val="0"/>
        <w:spacing w:line="560" w:lineRule="exact"/>
        <w:ind w:firstLine="600" w:firstLineChars="200"/>
        <w:rPr>
          <w:rFonts w:eastAsia="方正仿宋_GBK"/>
          <w:kern w:val="0"/>
          <w:sz w:val="30"/>
          <w:szCs w:val="30"/>
        </w:rPr>
      </w:pPr>
    </w:p>
    <w:p>
      <w:pPr>
        <w:pStyle w:val="50"/>
        <w:spacing w:line="560" w:lineRule="exact"/>
        <w:ind w:firstLine="600"/>
        <w:outlineLvl w:val="1"/>
        <w:rPr>
          <w:rFonts w:eastAsia="方正黑体_GBK" w:cs="方正黑体_GBK"/>
          <w:bCs/>
          <w:sz w:val="30"/>
          <w:szCs w:val="30"/>
        </w:rPr>
      </w:pPr>
      <w:bookmarkStart w:id="93" w:name="_Toc96891269"/>
      <w:r>
        <w:rPr>
          <w:rFonts w:hint="eastAsia" w:eastAsia="方正黑体_GBK" w:cs="方正黑体_GBK"/>
          <w:bCs/>
          <w:sz w:val="30"/>
          <w:szCs w:val="30"/>
        </w:rPr>
        <w:t>一、未成年人上网设备</w:t>
      </w:r>
      <w:bookmarkEnd w:id="93"/>
    </w:p>
    <w:p>
      <w:pPr>
        <w:autoSpaceDE w:val="0"/>
        <w:autoSpaceDN w:val="0"/>
        <w:adjustRightInd w:val="0"/>
        <w:spacing w:line="560" w:lineRule="exact"/>
        <w:ind w:firstLine="600" w:firstLineChars="200"/>
        <w:rPr>
          <w:rFonts w:eastAsia="方正仿宋_GBK"/>
          <w:kern w:val="0"/>
          <w:sz w:val="30"/>
          <w:szCs w:val="30"/>
        </w:rPr>
      </w:pPr>
      <w:bookmarkStart w:id="94" w:name="_Toc113544198"/>
      <w:r>
        <w:rPr>
          <w:rFonts w:hint="eastAsia" w:eastAsia="方正仿宋_GBK"/>
          <w:kern w:val="0"/>
          <w:sz w:val="30"/>
          <w:szCs w:val="30"/>
        </w:rPr>
        <w:t xml:space="preserve">1. </w:t>
      </w:r>
      <w:r>
        <w:rPr>
          <w:rFonts w:hint="eastAsia" w:eastAsia="方正楷体_GBK" w:cs="方正楷体_GBK"/>
          <w:kern w:val="0"/>
          <w:sz w:val="30"/>
          <w:szCs w:val="30"/>
        </w:rPr>
        <w:t>未成年网民上网设备使用情况</w:t>
      </w:r>
      <w:bookmarkEnd w:id="94"/>
      <w:r>
        <w:rPr>
          <w:rFonts w:hint="eastAsia" w:eastAsia="方正仿宋_GBK"/>
          <w:kern w:val="0"/>
          <w:sz w:val="30"/>
          <w:szCs w:val="30"/>
        </w:rPr>
        <w:t>。数据显示，未成年网民使用台式电脑、笔记本电脑、平板电脑、智能手表等设备上网的比例分别为41.1%、38.4%、45.7%和39.3%，较2020年均有所提升；使用手机上网的比例为90.7%，较2020年下降</w:t>
      </w:r>
      <w:r>
        <w:rPr>
          <w:rFonts w:eastAsia="方正仿宋_GBK"/>
          <w:kern w:val="0"/>
          <w:sz w:val="30"/>
          <w:szCs w:val="30"/>
        </w:rPr>
        <w:t>1.5</w:t>
      </w:r>
      <w:r>
        <w:rPr>
          <w:rFonts w:hint="eastAsia" w:eastAsia="方正仿宋_GBK"/>
          <w:kern w:val="0"/>
          <w:sz w:val="30"/>
          <w:szCs w:val="30"/>
        </w:rPr>
        <w:t>个百分点。</w:t>
      </w: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本次调查首次纳入了智能台灯、智能音箱、词典笔等新型上网设备，未成年网民的使用比例分别达到21.7%、19.9%和16.4%。其中，智能台灯在小学生中的使用率达到21.8%，高于高中生（19.5%）和中等职业教育学生（18.7%）；词典笔在小学生中的使用率达到17.3%，同样高于高中生（15.2%）和中等职业教育学生（13.6%）。上述两款设备均呈现“</w:t>
      </w:r>
      <w:r>
        <w:rPr>
          <w:rFonts w:hint="eastAsia" w:eastAsia="方正仿宋_GBK"/>
          <w:kern w:val="0"/>
          <w:sz w:val="30"/>
          <w:szCs w:val="30"/>
          <w:lang w:eastAsia="zh-CN"/>
        </w:rPr>
        <w:t>学龄段</w:t>
      </w:r>
      <w:r>
        <w:rPr>
          <w:rFonts w:hint="eastAsia" w:eastAsia="方正仿宋_GBK"/>
          <w:kern w:val="0"/>
          <w:sz w:val="30"/>
          <w:szCs w:val="30"/>
        </w:rPr>
        <w:t>越</w:t>
      </w:r>
      <w:r>
        <w:rPr>
          <w:rFonts w:hint="eastAsia" w:eastAsia="方正仿宋_GBK"/>
          <w:kern w:val="0"/>
          <w:sz w:val="30"/>
          <w:szCs w:val="30"/>
          <w:lang w:eastAsia="zh-CN"/>
        </w:rPr>
        <w:t>低</w:t>
      </w:r>
      <w:r>
        <w:rPr>
          <w:rFonts w:hint="eastAsia" w:eastAsia="方正仿宋_GBK"/>
          <w:kern w:val="0"/>
          <w:sz w:val="30"/>
          <w:szCs w:val="30"/>
        </w:rPr>
        <w:t>，使用率越高”的特征。</w:t>
      </w:r>
    </w:p>
    <w:p>
      <w:pPr>
        <w:keepNext/>
        <w:jc w:val="center"/>
      </w:pPr>
      <w:r>
        <w:rPr>
          <w:rFonts w:hint="eastAsia"/>
        </w:rPr>
        <w:drawing>
          <wp:inline distT="0" distB="0" distL="0" distR="0">
            <wp:extent cx="5324475" cy="2581275"/>
            <wp:effectExtent l="0" t="0" r="0" b="0"/>
            <wp:docPr id="109"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pPr>
        <w:pStyle w:val="10"/>
        <w:jc w:val="center"/>
        <w:rPr>
          <w:rFonts w:hint="eastAsia" w:ascii="Times New Roman" w:hAnsi="Times New Roman" w:eastAsia="方正楷体_GBK" w:cs="Times New Roman"/>
          <w:sz w:val="24"/>
          <w:szCs w:val="24"/>
          <w:lang w:eastAsia="zh-CN"/>
        </w:rPr>
      </w:pPr>
      <w:bookmarkStart w:id="95" w:name="_Toc113023903"/>
      <w:r>
        <w:rPr>
          <w:rFonts w:hint="eastAsia" w:ascii="Times New Roman" w:hAnsi="Times New Roman" w:eastAsia="方正楷体_GBK" w:cs="Times New Roman"/>
          <w:sz w:val="24"/>
          <w:szCs w:val="24"/>
        </w:rPr>
        <w:t>图 6 未成年网民上网设备使用情况</w:t>
      </w:r>
      <w:bookmarkEnd w:id="95"/>
      <w:r>
        <w:rPr>
          <w:rFonts w:hint="eastAsia" w:ascii="Times New Roman" w:hAnsi="Times New Roman" w:eastAsia="方正楷体_GBK" w:cs="Times New Roman"/>
          <w:sz w:val="24"/>
          <w:szCs w:val="24"/>
          <w:lang w:eastAsia="zh-CN"/>
        </w:rPr>
        <w:t>（多选）</w:t>
      </w: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对比城乡未成年网民上网设备使用情况可以发现，城镇未成年网民使用的上网设备丰富多样，而农村未成年网民的上网设备则相对单一。数据显示，农村未成年网民使用手机上网的比例达到92.5%，是使用率唯一高于城镇未成年网民（90.2%）的上网设备，使用其他上网设备的比例均明显低于城镇未成年网民。</w:t>
      </w:r>
    </w:p>
    <w:p>
      <w:pPr>
        <w:keepNext/>
        <w:jc w:val="center"/>
      </w:pPr>
      <w:r>
        <w:rPr>
          <w:rFonts w:hint="eastAsia"/>
        </w:rPr>
        <w:drawing>
          <wp:inline distT="0" distB="0" distL="0" distR="0">
            <wp:extent cx="5205095" cy="2581275"/>
            <wp:effectExtent l="0" t="0" r="0" b="0"/>
            <wp:docPr id="31"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pPr>
        <w:pStyle w:val="10"/>
        <w:jc w:val="center"/>
        <w:rPr>
          <w:rFonts w:ascii="Times New Roman" w:hAnsi="Times New Roman" w:eastAsia="方正楷体_GBK" w:cs="Times New Roman"/>
          <w:sz w:val="24"/>
          <w:szCs w:val="24"/>
        </w:rPr>
      </w:pPr>
      <w:bookmarkStart w:id="96" w:name="_Toc113023904"/>
      <w:r>
        <w:rPr>
          <w:rFonts w:hint="eastAsia" w:ascii="Times New Roman" w:hAnsi="Times New Roman" w:eastAsia="方正楷体_GBK" w:cs="Times New Roman"/>
          <w:sz w:val="24"/>
          <w:szCs w:val="24"/>
        </w:rPr>
        <w:t>图 7</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城乡未成年网民上网设备使用情况</w:t>
      </w:r>
      <w:bookmarkEnd w:id="96"/>
      <w:r>
        <w:rPr>
          <w:rFonts w:hint="eastAsia" w:ascii="Times New Roman" w:hAnsi="Times New Roman" w:eastAsia="方正楷体_GBK" w:cs="Times New Roman"/>
          <w:sz w:val="24"/>
          <w:szCs w:val="24"/>
          <w:lang w:eastAsia="zh-CN"/>
        </w:rPr>
        <w:t>（多选）</w:t>
      </w:r>
    </w:p>
    <w:p>
      <w:pPr>
        <w:autoSpaceDE w:val="0"/>
        <w:autoSpaceDN w:val="0"/>
        <w:adjustRightInd w:val="0"/>
        <w:spacing w:line="560" w:lineRule="exact"/>
        <w:ind w:firstLine="600" w:firstLineChars="200"/>
        <w:rPr>
          <w:rFonts w:eastAsia="方正仿宋_GBK"/>
          <w:kern w:val="0"/>
          <w:sz w:val="30"/>
          <w:szCs w:val="30"/>
        </w:rPr>
      </w:pPr>
      <w:bookmarkStart w:id="97" w:name="_Toc113544199"/>
      <w:r>
        <w:rPr>
          <w:rFonts w:hint="eastAsia" w:eastAsia="方正仿宋_GBK"/>
          <w:kern w:val="0"/>
          <w:sz w:val="30"/>
          <w:szCs w:val="30"/>
        </w:rPr>
        <w:t xml:space="preserve">2. </w:t>
      </w:r>
      <w:r>
        <w:rPr>
          <w:rFonts w:hint="eastAsia" w:eastAsia="方正楷体_GBK" w:cs="方正楷体_GBK"/>
          <w:kern w:val="0"/>
          <w:sz w:val="30"/>
          <w:szCs w:val="30"/>
        </w:rPr>
        <w:t>未成年网民上网设备拥有情况</w:t>
      </w:r>
      <w:bookmarkEnd w:id="97"/>
      <w:r>
        <w:rPr>
          <w:rFonts w:hint="eastAsia" w:eastAsia="方正仿宋_GBK"/>
          <w:kern w:val="0"/>
          <w:sz w:val="30"/>
          <w:szCs w:val="30"/>
        </w:rPr>
        <w:t>。超八成未成年网民拥有属于自己的上网设备。数据显示，未成年网民中拥有属于自己的上网设备的比例达到86.7%，较2020年提升3.8个百分点。其中，手机仍然是未成年网民拥有比例最高的上网设备，为60.9%；其次为智能手表（33.3%）和平板电脑（27.9%）。与2020年相比，手机的拥有比例有所下降，而其他上网设备的比例有所提升。</w:t>
      </w:r>
    </w:p>
    <w:p>
      <w:pPr>
        <w:keepNext/>
        <w:jc w:val="center"/>
      </w:pPr>
      <w:r>
        <w:rPr>
          <w:rFonts w:hint="eastAsia"/>
        </w:rPr>
        <w:drawing>
          <wp:inline distT="0" distB="0" distL="0" distR="0">
            <wp:extent cx="4933950" cy="3533775"/>
            <wp:effectExtent l="0" t="0" r="0" b="0"/>
            <wp:docPr id="47"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pPr>
        <w:pStyle w:val="10"/>
        <w:jc w:val="center"/>
        <w:rPr>
          <w:rFonts w:ascii="Times New Roman" w:hAnsi="Times New Roman" w:eastAsia="方正楷体_GBK" w:cs="Times New Roman"/>
          <w:sz w:val="24"/>
          <w:szCs w:val="24"/>
        </w:rPr>
      </w:pPr>
      <w:r>
        <w:rPr>
          <w:rFonts w:hint="eastAsia" w:ascii="Times New Roman" w:hAnsi="Times New Roman" w:eastAsia="方正楷体_GBK" w:cs="Times New Roman"/>
          <w:sz w:val="24"/>
          <w:szCs w:val="24"/>
        </w:rPr>
        <w:t>图 8</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未成年网民上网设备拥有情况</w:t>
      </w:r>
      <w:r>
        <w:rPr>
          <w:rFonts w:hint="eastAsia" w:ascii="Times New Roman" w:hAnsi="Times New Roman" w:eastAsia="方正楷体_GBK" w:cs="Times New Roman"/>
          <w:sz w:val="24"/>
          <w:szCs w:val="24"/>
          <w:lang w:eastAsia="zh-CN"/>
        </w:rPr>
        <w:t>（多选）</w:t>
      </w: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城乡未成年网民的上网设备拥有情况也存在明显差异。农村未成年网民拥有属于自己的手机的比例为69.2%，比城镇未成年网民（58.3%）高10.9个百分点，拥有其他上网设备的比例均明显低于城镇。</w:t>
      </w:r>
    </w:p>
    <w:p>
      <w:pPr>
        <w:keepNext/>
        <w:jc w:val="center"/>
      </w:pPr>
      <w:r>
        <w:rPr>
          <w:rFonts w:hint="eastAsia"/>
        </w:rPr>
        <w:drawing>
          <wp:inline distT="0" distB="0" distL="0" distR="0">
            <wp:extent cx="4933950" cy="3533775"/>
            <wp:effectExtent l="0" t="0" r="0" b="0"/>
            <wp:docPr id="45"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pPr>
        <w:pStyle w:val="10"/>
        <w:jc w:val="center"/>
        <w:rPr>
          <w:rFonts w:ascii="Times New Roman" w:hAnsi="Times New Roman" w:eastAsia="方正楷体_GBK" w:cs="Times New Roman"/>
          <w:sz w:val="24"/>
          <w:szCs w:val="24"/>
        </w:rPr>
      </w:pPr>
      <w:r>
        <w:rPr>
          <w:rFonts w:hint="eastAsia" w:ascii="Times New Roman" w:hAnsi="Times New Roman" w:eastAsia="方正楷体_GBK" w:cs="Times New Roman"/>
          <w:sz w:val="24"/>
          <w:szCs w:val="24"/>
        </w:rPr>
        <w:t>图 9</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城乡未成年网民上网设备拥有情况</w:t>
      </w:r>
      <w:r>
        <w:rPr>
          <w:rFonts w:hint="eastAsia" w:ascii="Times New Roman" w:hAnsi="Times New Roman" w:eastAsia="方正楷体_GBK" w:cs="Times New Roman"/>
          <w:sz w:val="24"/>
          <w:szCs w:val="24"/>
          <w:lang w:eastAsia="zh-CN"/>
        </w:rPr>
        <w:t>（多选）</w:t>
      </w: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新型智能设备功能丰富多样，给未成年人的学习生活带来便利，但在信息内容、隐私安全等方面的规范标准参差不齐，其广泛使用也伴随着潜在的信息安全风险。数据显示，56.0%的未成年网民、56.8%的家长、79.0%的教师表示对智能手表、智能音箱、词典笔等上网设备存在安全风险表示担心。</w:t>
      </w:r>
    </w:p>
    <w:p>
      <w:pPr>
        <w:keepNext/>
        <w:jc w:val="center"/>
      </w:pPr>
      <w:r>
        <w:drawing>
          <wp:inline distT="0" distB="0" distL="114300" distR="114300">
            <wp:extent cx="4572000" cy="2743200"/>
            <wp:effectExtent l="0" t="0" r="0" b="0"/>
            <wp:docPr id="2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pPr>
        <w:pStyle w:val="10"/>
        <w:jc w:val="center"/>
        <w:rPr>
          <w:rFonts w:ascii="Times New Roman" w:hAnsi="Times New Roman" w:eastAsia="方正楷体_GBK" w:cs="Times New Roman"/>
          <w:sz w:val="24"/>
          <w:szCs w:val="24"/>
        </w:rPr>
      </w:pPr>
      <w:r>
        <w:rPr>
          <w:rFonts w:hint="eastAsia" w:ascii="Times New Roman" w:hAnsi="Times New Roman" w:eastAsia="方正楷体_GBK" w:cs="Times New Roman"/>
          <w:sz w:val="24"/>
          <w:szCs w:val="24"/>
        </w:rPr>
        <w:t>图 10</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未成年网民、家长、教师对新型智能设备安全风险的认知</w:t>
      </w:r>
    </w:p>
    <w:p>
      <w:pPr>
        <w:pStyle w:val="50"/>
        <w:spacing w:line="560" w:lineRule="exact"/>
        <w:ind w:firstLine="600"/>
        <w:outlineLvl w:val="1"/>
        <w:rPr>
          <w:rFonts w:eastAsia="方正黑体_GBK" w:cs="方正黑体_GBK"/>
          <w:bCs/>
          <w:sz w:val="30"/>
          <w:szCs w:val="30"/>
        </w:rPr>
      </w:pPr>
      <w:bookmarkStart w:id="98" w:name="_Toc440937743"/>
      <w:r>
        <w:rPr>
          <w:rFonts w:hint="eastAsia" w:eastAsia="方正黑体_GBK" w:cs="方正黑体_GBK"/>
          <w:bCs/>
          <w:sz w:val="30"/>
          <w:szCs w:val="30"/>
        </w:rPr>
        <w:t>二、未成年人上网时长</w:t>
      </w:r>
      <w:bookmarkEnd w:id="98"/>
    </w:p>
    <w:p>
      <w:pPr>
        <w:autoSpaceDE w:val="0"/>
        <w:autoSpaceDN w:val="0"/>
        <w:adjustRightInd w:val="0"/>
        <w:spacing w:line="560" w:lineRule="exact"/>
        <w:ind w:firstLine="600" w:firstLineChars="200"/>
        <w:rPr>
          <w:rFonts w:eastAsia="方正仿宋_GBK"/>
          <w:kern w:val="0"/>
          <w:sz w:val="30"/>
          <w:szCs w:val="30"/>
        </w:rPr>
      </w:pPr>
      <w:bookmarkStart w:id="99" w:name="_Toc113544202"/>
      <w:r>
        <w:rPr>
          <w:rFonts w:hint="eastAsia" w:eastAsia="方正仿宋_GBK"/>
          <w:kern w:val="0"/>
          <w:sz w:val="30"/>
          <w:szCs w:val="30"/>
        </w:rPr>
        <w:t xml:space="preserve">1. </w:t>
      </w:r>
      <w:r>
        <w:rPr>
          <w:rFonts w:hint="eastAsia" w:eastAsia="方正楷体_GBK" w:cs="方正楷体_GBK"/>
          <w:kern w:val="0"/>
          <w:sz w:val="30"/>
          <w:szCs w:val="30"/>
        </w:rPr>
        <w:t>未成年网民日均上网时长</w:t>
      </w:r>
      <w:bookmarkEnd w:id="99"/>
      <w:r>
        <w:rPr>
          <w:rFonts w:hint="eastAsia" w:eastAsia="方正仿宋_GBK"/>
          <w:kern w:val="0"/>
          <w:sz w:val="30"/>
          <w:szCs w:val="30"/>
        </w:rPr>
        <w:t>。未成年网民在工作日和节假日过度上网的情况有所改善。数据显示，66.0%的未成年网民工作日平均每天上网时长在半小时以内，51.8%的未成年网民节假日平均每天上网时长在1小时以内。未成年网民工作日平均每天上网时长在2小时以上的比例为8.7%，较2020年（11.5%）下降2.8个百分点；在节假日平均每天上网时长在5小时以上的比例为9.9%，较2020年（12.2%）下降2.3个百分点。</w:t>
      </w:r>
    </w:p>
    <w:p>
      <w:pPr>
        <w:keepNext/>
        <w:jc w:val="center"/>
      </w:pPr>
      <w:r>
        <w:drawing>
          <wp:inline distT="0" distB="0" distL="114300" distR="114300">
            <wp:extent cx="4572000" cy="2743200"/>
            <wp:effectExtent l="0" t="0" r="0" b="0"/>
            <wp:docPr id="1"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pPr>
        <w:pStyle w:val="10"/>
        <w:jc w:val="center"/>
        <w:rPr>
          <w:rFonts w:ascii="Times New Roman" w:hAnsi="Times New Roman" w:eastAsia="方正楷体_GBK" w:cs="Times New Roman"/>
          <w:sz w:val="24"/>
          <w:szCs w:val="24"/>
        </w:rPr>
      </w:pPr>
      <w:bookmarkStart w:id="100" w:name="_Toc113023906"/>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1</w:t>
      </w:r>
      <w:r>
        <w:rPr>
          <w:rFonts w:hint="eastAsia" w:ascii="Times New Roman" w:hAnsi="Times New Roman" w:eastAsia="方正楷体_GBK" w:cs="Times New Roman"/>
          <w:sz w:val="24"/>
          <w:szCs w:val="24"/>
        </w:rPr>
        <w:t>1</w:t>
      </w:r>
      <w:r>
        <w:rPr>
          <w:rFonts w:ascii="Times New Roman" w:hAnsi="Times New Roman" w:eastAsia="方正楷体_GBK" w:cs="Times New Roman"/>
          <w:sz w:val="24"/>
          <w:szCs w:val="24"/>
        </w:rPr>
        <w:fldChar w:fldCharType="end"/>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未成年网民日均上网时长</w:t>
      </w:r>
      <w:bookmarkEnd w:id="100"/>
    </w:p>
    <w:p>
      <w:pPr>
        <w:autoSpaceDE w:val="0"/>
        <w:autoSpaceDN w:val="0"/>
        <w:adjustRightInd w:val="0"/>
        <w:spacing w:line="560" w:lineRule="exact"/>
        <w:ind w:firstLine="600" w:firstLineChars="200"/>
        <w:rPr>
          <w:rFonts w:eastAsia="方正仿宋_GBK"/>
          <w:kern w:val="0"/>
          <w:sz w:val="30"/>
          <w:szCs w:val="30"/>
        </w:rPr>
      </w:pPr>
      <w:bookmarkStart w:id="101" w:name="_Toc113544203"/>
      <w:r>
        <w:rPr>
          <w:rFonts w:hint="eastAsia" w:eastAsia="方正仿宋_GBK"/>
          <w:kern w:val="0"/>
          <w:sz w:val="30"/>
          <w:szCs w:val="30"/>
        </w:rPr>
        <w:t xml:space="preserve">2. </w:t>
      </w:r>
      <w:r>
        <w:rPr>
          <w:rFonts w:hint="eastAsia" w:eastAsia="方正楷体_GBK" w:cs="方正楷体_GBK"/>
          <w:kern w:val="0"/>
          <w:sz w:val="30"/>
          <w:szCs w:val="30"/>
        </w:rPr>
        <w:t>家长对未成年人上网时长</w:t>
      </w:r>
      <w:bookmarkEnd w:id="101"/>
      <w:r>
        <w:rPr>
          <w:rFonts w:hint="eastAsia" w:eastAsia="方正楷体_GBK" w:cs="方正楷体_GBK"/>
          <w:kern w:val="0"/>
          <w:sz w:val="30"/>
          <w:szCs w:val="30"/>
        </w:rPr>
        <w:t>的影响</w:t>
      </w:r>
      <w:r>
        <w:rPr>
          <w:rFonts w:hint="eastAsia" w:eastAsia="方正仿宋_GBK"/>
          <w:kern w:val="0"/>
          <w:sz w:val="30"/>
          <w:szCs w:val="30"/>
        </w:rPr>
        <w:t>。在上网时长是否受到家长限制的问题上，8.4%的未成年网民表示不受限制，45.3%表示有时候受限制，46.3%表示经常受限制。</w:t>
      </w:r>
    </w:p>
    <w:p>
      <w:pPr>
        <w:keepNext/>
        <w:jc w:val="center"/>
      </w:pPr>
      <w:r>
        <w:rPr>
          <w:rFonts w:hint="eastAsia"/>
        </w:rPr>
        <w:drawing>
          <wp:inline distT="0" distB="0" distL="0" distR="0">
            <wp:extent cx="4100195" cy="2014220"/>
            <wp:effectExtent l="0" t="0" r="0" b="5080"/>
            <wp:docPr id="115" name="图表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pPr>
        <w:pStyle w:val="10"/>
        <w:jc w:val="center"/>
        <w:rPr>
          <w:rFonts w:ascii="Times New Roman" w:hAnsi="Times New Roman" w:eastAsia="方正楷体_GBK" w:cs="Times New Roman"/>
          <w:sz w:val="24"/>
          <w:szCs w:val="24"/>
        </w:rPr>
      </w:pPr>
      <w:bookmarkStart w:id="102" w:name="_Toc113023907"/>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1</w:t>
      </w:r>
      <w:r>
        <w:rPr>
          <w:rFonts w:hint="eastAsia" w:ascii="Times New Roman" w:hAnsi="Times New Roman" w:eastAsia="方正楷体_GBK" w:cs="Times New Roman"/>
          <w:sz w:val="24"/>
          <w:szCs w:val="24"/>
        </w:rPr>
        <w:t>2</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rPr>
        <w:t xml:space="preserve"> 未成年网民上网时长受到家长限制的情况</w:t>
      </w:r>
      <w:bookmarkEnd w:id="102"/>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城镇未成年网民上网时长受到家长的限制更加严格。数据显示，48.7%的城镇未成年网民会经常受到家长对于上网时长的限制，比农村未成年网民（38.3%）高10.4个百分点。</w:t>
      </w:r>
    </w:p>
    <w:p>
      <w:pPr>
        <w:keepNext/>
        <w:jc w:val="center"/>
      </w:pPr>
      <w:r>
        <w:rPr>
          <w:rFonts w:hint="eastAsia"/>
        </w:rPr>
        <w:drawing>
          <wp:inline distT="0" distB="0" distL="0" distR="0">
            <wp:extent cx="4686300" cy="2409825"/>
            <wp:effectExtent l="0" t="0" r="0" b="0"/>
            <wp:docPr id="49"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pPr>
        <w:pStyle w:val="10"/>
        <w:jc w:val="center"/>
        <w:rPr>
          <w:rFonts w:ascii="Times New Roman" w:hAnsi="Times New Roman" w:eastAsia="方正楷体_GBK" w:cs="Times New Roman"/>
          <w:sz w:val="24"/>
          <w:szCs w:val="24"/>
        </w:rPr>
      </w:pPr>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1</w:t>
      </w:r>
      <w:r>
        <w:rPr>
          <w:rFonts w:hint="eastAsia" w:ascii="Times New Roman" w:hAnsi="Times New Roman" w:eastAsia="方正楷体_GBK" w:cs="Times New Roman"/>
          <w:sz w:val="24"/>
          <w:szCs w:val="24"/>
        </w:rPr>
        <w:t>3</w:t>
      </w:r>
      <w:r>
        <w:rPr>
          <w:rFonts w:ascii="Times New Roman" w:hAnsi="Times New Roman" w:eastAsia="方正楷体_GBK" w:cs="Times New Roman"/>
          <w:sz w:val="24"/>
          <w:szCs w:val="24"/>
        </w:rPr>
        <w:fldChar w:fldCharType="end"/>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城乡未成年网民上网时长受到家长限制的情况</w:t>
      </w:r>
    </w:p>
    <w:p>
      <w:pPr>
        <w:autoSpaceDE w:val="0"/>
        <w:autoSpaceDN w:val="0"/>
        <w:adjustRightInd w:val="0"/>
        <w:spacing w:line="560" w:lineRule="exact"/>
        <w:ind w:firstLine="600" w:firstLineChars="200"/>
        <w:rPr>
          <w:rFonts w:eastAsia="方正仿宋_GBK"/>
          <w:kern w:val="0"/>
          <w:sz w:val="30"/>
          <w:szCs w:val="30"/>
        </w:rPr>
      </w:pPr>
      <w:bookmarkStart w:id="103" w:name="_Toc113544204"/>
      <w:r>
        <w:rPr>
          <w:rFonts w:hint="eastAsia" w:eastAsia="方正仿宋_GBK"/>
          <w:kern w:val="0"/>
          <w:sz w:val="30"/>
          <w:szCs w:val="30"/>
        </w:rPr>
        <w:t>进一步分析发现，家长自身的网上娱乐行为直接影响到未成年人上网时长。数据显示，在家长经常玩手机游戏或看短视频的家庭中，未成年人工作日平均每天上网时长在2小时以上的比例达12.1%，而在家长不经常玩手机游戏或看短视频的家庭中</w:t>
      </w:r>
      <w:r>
        <w:rPr>
          <w:rFonts w:hint="eastAsia" w:eastAsia="方正仿宋_GBK"/>
          <w:kern w:val="0"/>
          <w:sz w:val="30"/>
          <w:szCs w:val="30"/>
          <w:lang w:eastAsia="zh-CN"/>
        </w:rPr>
        <w:t>，</w:t>
      </w:r>
      <w:r>
        <w:rPr>
          <w:rFonts w:hint="eastAsia" w:eastAsia="方正仿宋_GBK"/>
          <w:kern w:val="0"/>
          <w:sz w:val="30"/>
          <w:szCs w:val="30"/>
        </w:rPr>
        <w:t>该比例仅为6.5%。在家长经常玩手机游戏或看短视频的家庭中，未成年人节假日平均每天上网在5小时以上的比例达</w:t>
      </w:r>
      <w:r>
        <w:rPr>
          <w:rFonts w:eastAsia="方正仿宋_GBK"/>
          <w:kern w:val="0"/>
          <w:sz w:val="30"/>
          <w:szCs w:val="30"/>
        </w:rPr>
        <w:t>14.9</w:t>
      </w:r>
      <w:r>
        <w:rPr>
          <w:rFonts w:hint="eastAsia" w:eastAsia="方正仿宋_GBK"/>
          <w:kern w:val="0"/>
          <w:sz w:val="30"/>
          <w:szCs w:val="30"/>
        </w:rPr>
        <w:t>%，而在家长不经常玩手机游戏或看短视频的家庭中，该比例仅为6.4%。</w:t>
      </w:r>
    </w:p>
    <w:bookmarkEnd w:id="103"/>
    <w:p>
      <w:pPr>
        <w:autoSpaceDE w:val="0"/>
        <w:autoSpaceDN w:val="0"/>
        <w:adjustRightInd w:val="0"/>
        <w:spacing w:line="560" w:lineRule="exact"/>
        <w:ind w:firstLine="600" w:firstLineChars="200"/>
        <w:rPr>
          <w:rFonts w:eastAsia="方正仿宋_GBK"/>
          <w:kern w:val="0"/>
          <w:sz w:val="30"/>
          <w:szCs w:val="30"/>
        </w:rPr>
      </w:pPr>
      <w:bookmarkStart w:id="104" w:name="_Toc113544205"/>
      <w:r>
        <w:rPr>
          <w:rFonts w:hint="eastAsia" w:eastAsia="方正楷体_GBK" w:cs="方正楷体_GBK"/>
          <w:kern w:val="0"/>
          <w:sz w:val="30"/>
          <w:szCs w:val="30"/>
          <w:lang w:val="en-US" w:eastAsia="zh-CN"/>
        </w:rPr>
        <w:t>3</w:t>
      </w:r>
      <w:r>
        <w:rPr>
          <w:rFonts w:hint="eastAsia" w:eastAsia="方正楷体_GBK" w:cs="方正楷体_GBK"/>
          <w:kern w:val="0"/>
          <w:sz w:val="30"/>
          <w:szCs w:val="30"/>
        </w:rPr>
        <w:t>. 家长对孩子上网时长的主观感受</w:t>
      </w:r>
      <w:bookmarkEnd w:id="104"/>
      <w:r>
        <w:rPr>
          <w:rFonts w:hint="eastAsia" w:eastAsia="方正仿宋_GBK"/>
          <w:kern w:val="0"/>
          <w:sz w:val="30"/>
          <w:szCs w:val="30"/>
        </w:rPr>
        <w:t>。近三成家长认为孩子存在上网时间过长的问题。数据显示，认为孩子上网时间过长的家长比例为27.3%，认为孩子上网符合要求的比例为59.9%，还有11.3%的家长不让孩子在家上网，1.5%的家长表示不懂或不知道孩子上不上网。</w:t>
      </w:r>
    </w:p>
    <w:p>
      <w:pPr>
        <w:keepNext/>
        <w:jc w:val="center"/>
      </w:pPr>
      <w:r>
        <w:rPr>
          <w:rFonts w:hint="eastAsia"/>
        </w:rPr>
        <w:drawing>
          <wp:inline distT="0" distB="0" distL="0" distR="0">
            <wp:extent cx="4600575" cy="2381250"/>
            <wp:effectExtent l="0" t="0" r="0" b="0"/>
            <wp:docPr id="34" name="图表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pPr>
        <w:pStyle w:val="10"/>
        <w:jc w:val="center"/>
        <w:rPr>
          <w:rFonts w:ascii="Times New Roman" w:hAnsi="Times New Roman" w:eastAsia="方正楷体_GBK" w:cs="Times New Roman"/>
          <w:sz w:val="24"/>
          <w:szCs w:val="24"/>
        </w:rPr>
      </w:pPr>
      <w:bookmarkStart w:id="105" w:name="_Toc113023938"/>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1</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4</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家长对孩子上网时长的主观感受</w:t>
      </w:r>
      <w:bookmarkEnd w:id="105"/>
    </w:p>
    <w:p>
      <w:pPr>
        <w:pStyle w:val="50"/>
        <w:spacing w:line="560" w:lineRule="exact"/>
        <w:ind w:firstLine="600"/>
        <w:outlineLvl w:val="1"/>
        <w:rPr>
          <w:rFonts w:eastAsia="方正黑体_GBK" w:cs="方正黑体_GBK"/>
          <w:bCs/>
          <w:sz w:val="30"/>
          <w:szCs w:val="30"/>
        </w:rPr>
      </w:pPr>
      <w:bookmarkStart w:id="106" w:name="_Toc2031182653"/>
      <w:r>
        <w:rPr>
          <w:rFonts w:hint="eastAsia" w:eastAsia="方正黑体_GBK" w:cs="方正黑体_GBK"/>
          <w:bCs/>
          <w:sz w:val="30"/>
          <w:szCs w:val="30"/>
        </w:rPr>
        <w:t>三、未成年人对互联网的主观依赖程度</w:t>
      </w:r>
      <w:bookmarkEnd w:id="106"/>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约两成未成年网民认为自己对互联网存在依赖心理。数据显示，未成年网民中认为自己非常依赖（有空闲就要上网）或比较依赖互联网的比例为19.5%，与2020年（19.6%）基本持平。认为自己对互联网完全不依赖或不太依赖的比例为42.0%，较2020年（38.7%）提升3.3个百分点。</w:t>
      </w:r>
    </w:p>
    <w:p>
      <w:pPr>
        <w:keepNext/>
        <w:jc w:val="center"/>
      </w:pPr>
      <w:r>
        <w:rPr>
          <w:rFonts w:hint="eastAsia"/>
        </w:rPr>
        <w:drawing>
          <wp:inline distT="0" distB="0" distL="0" distR="0">
            <wp:extent cx="3745230" cy="1938020"/>
            <wp:effectExtent l="0" t="0" r="0" b="0"/>
            <wp:docPr id="12" name="图表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pPr>
        <w:pStyle w:val="10"/>
        <w:jc w:val="center"/>
        <w:rPr>
          <w:rFonts w:ascii="Times New Roman" w:hAnsi="Times New Roman" w:eastAsia="方正楷体_GBK" w:cs="Times New Roman"/>
          <w:sz w:val="24"/>
          <w:szCs w:val="24"/>
        </w:rPr>
      </w:pPr>
      <w:bookmarkStart w:id="107" w:name="_Toc113023908"/>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1</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5</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未成年网民对互联网的主观依赖程度</w:t>
      </w:r>
      <w:bookmarkEnd w:id="107"/>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进一步分析发现，未成年网民上网时长是否受到家长限制，显著影响其对互联网的依赖程度。上网时长经常受到家长限制的未成年网民，非常依赖或比较依赖互联网的比例为</w:t>
      </w:r>
      <w:r>
        <w:rPr>
          <w:rFonts w:eastAsia="方正仿宋_GBK"/>
          <w:kern w:val="0"/>
          <w:sz w:val="30"/>
          <w:szCs w:val="30"/>
        </w:rPr>
        <w:t>9.9</w:t>
      </w:r>
      <w:r>
        <w:rPr>
          <w:rFonts w:hint="eastAsia" w:eastAsia="方正仿宋_GBK"/>
          <w:kern w:val="0"/>
          <w:sz w:val="30"/>
          <w:szCs w:val="30"/>
        </w:rPr>
        <w:t>%，比不受家长限制的未成年网民低27.</w:t>
      </w:r>
      <w:r>
        <w:rPr>
          <w:rFonts w:eastAsia="方正仿宋_GBK"/>
          <w:kern w:val="0"/>
          <w:sz w:val="30"/>
          <w:szCs w:val="30"/>
        </w:rPr>
        <w:t>5</w:t>
      </w:r>
      <w:r>
        <w:rPr>
          <w:rFonts w:hint="eastAsia" w:eastAsia="方正仿宋_GBK"/>
          <w:kern w:val="0"/>
          <w:sz w:val="30"/>
          <w:szCs w:val="30"/>
        </w:rPr>
        <w:t>个百分点。</w:t>
      </w:r>
    </w:p>
    <w:p>
      <w:pPr>
        <w:autoSpaceDE w:val="0"/>
        <w:autoSpaceDN w:val="0"/>
        <w:adjustRightInd w:val="0"/>
        <w:spacing w:line="560" w:lineRule="exact"/>
        <w:ind w:firstLine="420" w:firstLineChars="200"/>
        <w:rPr>
          <w:rFonts w:eastAsia="方正楷体_GBK"/>
          <w:sz w:val="24"/>
        </w:rPr>
      </w:pPr>
      <w:r>
        <w:drawing>
          <wp:anchor distT="0" distB="0" distL="114300" distR="114300" simplePos="0" relativeHeight="251662336" behindDoc="0" locked="0" layoutInCell="1" allowOverlap="1">
            <wp:simplePos x="0" y="0"/>
            <wp:positionH relativeFrom="column">
              <wp:posOffset>521970</wp:posOffset>
            </wp:positionH>
            <wp:positionV relativeFrom="paragraph">
              <wp:posOffset>38735</wp:posOffset>
            </wp:positionV>
            <wp:extent cx="4572000" cy="2743200"/>
            <wp:effectExtent l="0" t="0" r="0" b="0"/>
            <wp:wrapTopAndBottom/>
            <wp:docPr id="1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anchor>
        </w:drawing>
      </w:r>
      <w:r>
        <w:rPr>
          <w:rFonts w:hint="eastAsia" w:eastAsia="方正楷体_GBK"/>
          <w:sz w:val="24"/>
        </w:rPr>
        <w:t xml:space="preserve">图 </w:t>
      </w:r>
      <w:r>
        <w:rPr>
          <w:rFonts w:eastAsia="方正楷体_GBK"/>
          <w:sz w:val="24"/>
        </w:rPr>
        <w:fldChar w:fldCharType="begin"/>
      </w:r>
      <w:r>
        <w:rPr>
          <w:rFonts w:eastAsia="方正楷体_GBK"/>
          <w:sz w:val="24"/>
        </w:rPr>
        <w:instrText xml:space="preserve"> </w:instrText>
      </w:r>
      <w:r>
        <w:rPr>
          <w:rFonts w:hint="eastAsia" w:eastAsia="方正楷体_GBK"/>
          <w:sz w:val="24"/>
        </w:rPr>
        <w:instrText xml:space="preserve">SEQ 图 \* ARABIC</w:instrText>
      </w:r>
      <w:r>
        <w:rPr>
          <w:rFonts w:eastAsia="方正楷体_GBK"/>
          <w:sz w:val="24"/>
        </w:rPr>
        <w:instrText xml:space="preserve"> </w:instrText>
      </w:r>
      <w:r>
        <w:rPr>
          <w:rFonts w:eastAsia="方正楷体_GBK"/>
          <w:sz w:val="24"/>
        </w:rPr>
        <w:fldChar w:fldCharType="separate"/>
      </w:r>
      <w:r>
        <w:rPr>
          <w:rFonts w:eastAsia="方正楷体_GBK"/>
          <w:sz w:val="24"/>
        </w:rPr>
        <w:t>1</w:t>
      </w:r>
      <w:r>
        <w:rPr>
          <w:rFonts w:eastAsia="方正楷体_GBK"/>
          <w:sz w:val="24"/>
        </w:rPr>
        <w:fldChar w:fldCharType="end"/>
      </w:r>
      <w:r>
        <w:rPr>
          <w:rFonts w:hint="eastAsia" w:eastAsia="方正楷体_GBK"/>
          <w:sz w:val="24"/>
          <w:lang w:val="en-US" w:eastAsia="zh-CN"/>
        </w:rPr>
        <w:t>6</w:t>
      </w:r>
      <w:r>
        <w:rPr>
          <w:rFonts w:eastAsia="方正楷体_GBK"/>
          <w:sz w:val="24"/>
        </w:rPr>
        <w:t xml:space="preserve"> </w:t>
      </w:r>
      <w:r>
        <w:rPr>
          <w:rFonts w:hint="eastAsia" w:eastAsia="方正楷体_GBK"/>
          <w:sz w:val="24"/>
        </w:rPr>
        <w:t>未成年网民上网时长受到家长限制情况与对互联网主观依赖程度的关系</w:t>
      </w: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此外，未成年网民是否与父母共同生活，也影响其对互联网的依赖程度。数据显示，与父母双方共同生活的未成年网民中，其认为自己非常依赖或比较依赖互联网的比例为16.2%，而与父母中的某一方生活、与其他亲属生活的未成年网民中，这个比例分别为22.4%和21.3%。</w:t>
      </w:r>
    </w:p>
    <w:p>
      <w:pPr>
        <w:pStyle w:val="50"/>
        <w:spacing w:line="560" w:lineRule="exact"/>
        <w:ind w:left="420" w:firstLine="0" w:firstLineChars="0"/>
        <w:rPr>
          <w:rFonts w:eastAsia="方正黑体_GBK" w:cs="方正黑体_GBK"/>
          <w:bCs/>
          <w:sz w:val="30"/>
          <w:szCs w:val="30"/>
        </w:rPr>
      </w:pPr>
      <w:bookmarkStart w:id="108" w:name="_Toc113544207"/>
    </w:p>
    <w:p>
      <w:pPr>
        <w:pStyle w:val="50"/>
        <w:spacing w:line="560" w:lineRule="exact"/>
        <w:ind w:left="420" w:firstLine="0" w:firstLineChars="0"/>
        <w:rPr>
          <w:rFonts w:eastAsia="方正黑体_GBK" w:cs="方正黑体_GBK"/>
          <w:bCs/>
          <w:sz w:val="30"/>
          <w:szCs w:val="30"/>
        </w:rPr>
      </w:pPr>
      <w:r>
        <w:rPr>
          <w:rFonts w:hint="eastAsia" w:eastAsia="方正黑体_GBK" w:cs="方正黑体_GBK"/>
          <w:bCs/>
          <w:sz w:val="30"/>
          <w:szCs w:val="30"/>
        </w:rPr>
        <w:t>【本章小结</w:t>
      </w:r>
      <w:bookmarkEnd w:id="108"/>
      <w:r>
        <w:rPr>
          <w:rFonts w:hint="eastAsia" w:eastAsia="方正黑体_GBK" w:cs="方正黑体_GBK"/>
          <w:bCs/>
          <w:sz w:val="30"/>
          <w:szCs w:val="30"/>
        </w:rPr>
        <w:t>】</w:t>
      </w: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未成年人的互联网接入环境呈现以下三个主要特点：一是接入设备方面，手机仍然是未成年人最主要的上网设备，新型智能设备在未成年网民中有较高使用率，这类设备的信息安全风险值得重视。二是接入时长方面，未成年网民在工作日和节假日过度上网的情况有所改善。未成年网民在工作日平均每天上网时长在2小时以上的比例为8.7%，较2020年下降2.8个百分点；在节假日平均上网时长在5小时以上的比例为9.9%，较2020年下降2.3个百分点。三是网络依赖问题，近三成家长认为孩子存在上网时间过长的问题，约两成未成年网民认为自己对互联网存在不同程度的依赖心理；未成年网民上网时长是否受到家长限制，显著影响其对互联网的依赖程度。</w:t>
      </w:r>
    </w:p>
    <w:p>
      <w:pPr>
        <w:widowControl/>
        <w:spacing w:line="240" w:lineRule="auto"/>
      </w:pPr>
      <w:r>
        <w:br w:type="page"/>
      </w:r>
    </w:p>
    <w:p>
      <w:pPr>
        <w:spacing w:line="560" w:lineRule="exact"/>
        <w:jc w:val="center"/>
        <w:outlineLvl w:val="0"/>
        <w:rPr>
          <w:rFonts w:eastAsia="方正小标宋简体" w:cs="方正小标宋简体"/>
          <w:sz w:val="40"/>
          <w:szCs w:val="40"/>
        </w:rPr>
      </w:pPr>
      <w:bookmarkStart w:id="109" w:name="_Toc1916701741"/>
      <w:r>
        <w:rPr>
          <w:rFonts w:hint="eastAsia" w:eastAsia="方正小标宋简体" w:cs="方正小标宋简体"/>
          <w:sz w:val="40"/>
          <w:szCs w:val="40"/>
        </w:rPr>
        <w:t>第三章  未成年人互联网使用情况</w:t>
      </w:r>
      <w:bookmarkEnd w:id="109"/>
    </w:p>
    <w:p>
      <w:pPr>
        <w:autoSpaceDE w:val="0"/>
        <w:autoSpaceDN w:val="0"/>
        <w:adjustRightInd w:val="0"/>
        <w:spacing w:line="560" w:lineRule="exact"/>
        <w:ind w:firstLine="600" w:firstLineChars="200"/>
        <w:rPr>
          <w:rFonts w:eastAsia="方正仿宋_GBK"/>
          <w:kern w:val="0"/>
          <w:sz w:val="30"/>
          <w:szCs w:val="30"/>
        </w:rPr>
      </w:pPr>
    </w:p>
    <w:p>
      <w:pPr>
        <w:pStyle w:val="50"/>
        <w:spacing w:line="560" w:lineRule="exact"/>
        <w:ind w:firstLine="600"/>
        <w:outlineLvl w:val="1"/>
        <w:rPr>
          <w:rFonts w:eastAsia="方正黑体_GBK" w:cs="方正黑体_GBK"/>
          <w:bCs/>
          <w:sz w:val="30"/>
          <w:szCs w:val="30"/>
        </w:rPr>
      </w:pPr>
      <w:bookmarkStart w:id="110" w:name="_Toc893557380"/>
      <w:r>
        <w:rPr>
          <w:rFonts w:hint="eastAsia" w:eastAsia="方正黑体_GBK" w:cs="方正黑体_GBK"/>
          <w:bCs/>
          <w:sz w:val="30"/>
          <w:szCs w:val="30"/>
        </w:rPr>
        <w:t>一、未成年人使用互联网应用的整体情况</w:t>
      </w:r>
      <w:bookmarkEnd w:id="110"/>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未成年人使用互联网应用的整体情况较2020年变化均不大。数据显示，未成年网民在过去半年中经常利用互联网进行学习的比例达到88.9%。上网听音乐和玩游戏是未成年人主要的网上休闲娱乐活动，占比分别为63.0%和62.3%。上网聊天作为未成年人主要的网上沟通社交活动，占比为53.4%。</w:t>
      </w: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网上休闲娱乐活动中，未成年网民经常观看短视频的比例为47.6%，较2020年（49.3%）下降1.7个百分点；经常参加网络粉丝应援活动的比例为5.4%，较2020年（8.0%）下降2.6个百分点。</w:t>
      </w:r>
    </w:p>
    <w:p>
      <w:pPr>
        <w:keepNext/>
        <w:jc w:val="center"/>
      </w:pPr>
      <w:r>
        <w:drawing>
          <wp:inline distT="0" distB="0" distL="0" distR="0">
            <wp:extent cx="4895850" cy="5538470"/>
            <wp:effectExtent l="0" t="0" r="0" b="0"/>
            <wp:docPr id="89"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pPr>
        <w:pStyle w:val="10"/>
        <w:jc w:val="center"/>
        <w:rPr>
          <w:rFonts w:ascii="Times New Roman" w:hAnsi="Times New Roman" w:eastAsia="方正楷体_GBK" w:cs="Times New Roman"/>
          <w:sz w:val="24"/>
          <w:szCs w:val="24"/>
        </w:rPr>
      </w:pPr>
      <w:bookmarkStart w:id="111" w:name="_Toc113023909"/>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1</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7</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未成年网民上网经常从事各类活动的比例</w:t>
      </w:r>
      <w:bookmarkEnd w:id="111"/>
      <w:r>
        <w:rPr>
          <w:rFonts w:hint="eastAsia" w:ascii="Times New Roman" w:hAnsi="Times New Roman" w:eastAsia="方正楷体_GBK" w:cs="Times New Roman"/>
          <w:sz w:val="24"/>
          <w:szCs w:val="24"/>
          <w:lang w:eastAsia="zh-CN"/>
        </w:rPr>
        <w:t>（多选）</w:t>
      </w:r>
    </w:p>
    <w:p>
      <w:pPr>
        <w:autoSpaceDE w:val="0"/>
        <w:autoSpaceDN w:val="0"/>
        <w:adjustRightInd w:val="0"/>
        <w:spacing w:line="560" w:lineRule="exact"/>
        <w:ind w:firstLine="600" w:firstLineChars="200"/>
        <w:rPr>
          <w:rFonts w:eastAsia="方正仿宋_GBK"/>
          <w:kern w:val="0"/>
          <w:sz w:val="30"/>
          <w:szCs w:val="30"/>
        </w:rPr>
      </w:pPr>
      <w:bookmarkStart w:id="112" w:name="_Toc113023972"/>
      <w:r>
        <w:rPr>
          <w:rFonts w:hint="eastAsia" w:eastAsia="方正楷体_GBK" w:cs="方正楷体_GBK"/>
          <w:kern w:val="0"/>
          <w:sz w:val="30"/>
          <w:szCs w:val="30"/>
        </w:rPr>
        <w:t>1. 小学生互联网应用使用情况</w:t>
      </w:r>
      <w:bookmarkEnd w:id="112"/>
      <w:r>
        <w:rPr>
          <w:rFonts w:hint="eastAsia" w:eastAsia="方正楷体_GBK" w:cs="方正楷体_GBK"/>
          <w:kern w:val="0"/>
          <w:sz w:val="30"/>
          <w:szCs w:val="30"/>
        </w:rPr>
        <w:t>。</w:t>
      </w:r>
      <w:r>
        <w:rPr>
          <w:rFonts w:hint="eastAsia" w:eastAsia="方正仿宋_GBK"/>
          <w:kern w:val="0"/>
          <w:sz w:val="30"/>
          <w:szCs w:val="30"/>
        </w:rPr>
        <w:t>小学生的互联网普及率相对较低，各类互联网应用的使用比例也均低于未成年网民平均水平。数据显示，小学生经常在网上聊天、使用社交网站和网上购物的比例分别较未成年网民平均水平低18.3、16.6和14.9个百分点，经常在网上听音乐、玩游戏、看视频、看小说的比例也均低于未成年网民平均水平10个百分点以上。</w:t>
      </w:r>
    </w:p>
    <w:p>
      <w:pPr>
        <w:keepNext/>
        <w:jc w:val="center"/>
      </w:pPr>
      <w:r>
        <w:rPr>
          <w:rFonts w:hint="eastAsia"/>
        </w:rPr>
        <w:drawing>
          <wp:inline distT="0" distB="0" distL="0" distR="0">
            <wp:extent cx="5210175" cy="5753100"/>
            <wp:effectExtent l="0" t="0" r="0" b="0"/>
            <wp:docPr id="90"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pPr>
        <w:pStyle w:val="10"/>
        <w:jc w:val="center"/>
        <w:rPr>
          <w:rFonts w:ascii="Times New Roman" w:hAnsi="Times New Roman" w:eastAsia="方正楷体_GBK" w:cs="Times New Roman"/>
          <w:sz w:val="24"/>
          <w:szCs w:val="24"/>
        </w:rPr>
      </w:pPr>
      <w:bookmarkStart w:id="113" w:name="_Toc113023910"/>
      <w:r>
        <w:rPr>
          <w:rFonts w:hint="eastAsia" w:ascii="Times New Roman" w:hAnsi="Times New Roman" w:eastAsia="方正楷体_GBK" w:cs="Times New Roman"/>
          <w:sz w:val="24"/>
          <w:szCs w:val="24"/>
        </w:rPr>
        <w:t xml:space="preserve">图 </w:t>
      </w:r>
      <w:r>
        <w:rPr>
          <w:rFonts w:hint="eastAsia" w:ascii="Times New Roman" w:hAnsi="Times New Roman" w:eastAsia="方正楷体_GBK" w:cs="Times New Roman"/>
          <w:sz w:val="24"/>
          <w:szCs w:val="24"/>
          <w:lang w:val="en-US" w:eastAsia="zh-CN"/>
        </w:rPr>
        <w:t>18</w:t>
      </w:r>
      <w:r>
        <w:rPr>
          <w:rFonts w:hint="eastAsia" w:ascii="Times New Roman" w:hAnsi="Times New Roman" w:eastAsia="方正楷体_GBK" w:cs="Times New Roman"/>
          <w:sz w:val="24"/>
          <w:szCs w:val="24"/>
        </w:rPr>
        <w:t xml:space="preserve"> 小学生网民上网经常从事各类活动的比例</w:t>
      </w:r>
      <w:bookmarkEnd w:id="113"/>
      <w:r>
        <w:rPr>
          <w:rFonts w:hint="eastAsia" w:ascii="Times New Roman" w:hAnsi="Times New Roman" w:eastAsia="方正楷体_GBK" w:cs="Times New Roman"/>
          <w:sz w:val="24"/>
          <w:szCs w:val="24"/>
          <w:lang w:eastAsia="zh-CN"/>
        </w:rPr>
        <w:t>（多选）</w:t>
      </w:r>
    </w:p>
    <w:p>
      <w:pPr>
        <w:autoSpaceDE w:val="0"/>
        <w:autoSpaceDN w:val="0"/>
        <w:adjustRightInd w:val="0"/>
        <w:spacing w:line="560" w:lineRule="exact"/>
        <w:ind w:firstLine="600" w:firstLineChars="200"/>
        <w:rPr>
          <w:rFonts w:eastAsia="方正仿宋_GBK"/>
          <w:kern w:val="0"/>
          <w:sz w:val="30"/>
          <w:szCs w:val="30"/>
        </w:rPr>
      </w:pPr>
      <w:bookmarkStart w:id="114" w:name="_Toc113023973"/>
      <w:r>
        <w:rPr>
          <w:rFonts w:hint="eastAsia" w:eastAsia="方正楷体_GBK" w:cs="方正楷体_GBK"/>
          <w:kern w:val="0"/>
          <w:sz w:val="30"/>
          <w:szCs w:val="30"/>
        </w:rPr>
        <w:t>2. 初中生互联网应用使用情况</w:t>
      </w:r>
      <w:bookmarkEnd w:id="114"/>
      <w:r>
        <w:rPr>
          <w:rFonts w:hint="eastAsia" w:eastAsia="方正楷体_GBK" w:cs="方正楷体_GBK"/>
          <w:kern w:val="0"/>
          <w:sz w:val="30"/>
          <w:szCs w:val="30"/>
        </w:rPr>
        <w:t>。</w:t>
      </w:r>
      <w:r>
        <w:rPr>
          <w:rFonts w:hint="eastAsia" w:eastAsia="方正仿宋_GBK"/>
          <w:kern w:val="0"/>
          <w:sz w:val="30"/>
          <w:szCs w:val="30"/>
        </w:rPr>
        <w:t>初中生各类互联网应用的使用比例均高于未成年网民平均水平。数据显示，初中生经常在网上聊天、使用社交网站的比例均高于未成年网民平均水平15个百分点以上，经常听音乐、看视频、看短视频、搜索信息和网上购物的比例也均高于未成年网民平均水平10个百分点以上。初中还是参与网上粉丝应援活动比例最高的学历段，9.1%的初中网民经常在网上参与粉丝应援活动。</w:t>
      </w:r>
    </w:p>
    <w:p>
      <w:pPr>
        <w:keepNext/>
        <w:jc w:val="center"/>
      </w:pPr>
      <w:r>
        <w:rPr>
          <w:rFonts w:hint="eastAsia"/>
        </w:rPr>
        <w:drawing>
          <wp:inline distT="0" distB="0" distL="0" distR="0">
            <wp:extent cx="5172075" cy="5591175"/>
            <wp:effectExtent l="0" t="0" r="0" b="0"/>
            <wp:docPr id="91"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pPr>
        <w:pStyle w:val="10"/>
        <w:jc w:val="center"/>
        <w:rPr>
          <w:rFonts w:ascii="Times New Roman" w:hAnsi="Times New Roman" w:eastAsia="方正楷体_GBK" w:cs="Times New Roman"/>
          <w:sz w:val="24"/>
          <w:szCs w:val="24"/>
        </w:rPr>
      </w:pPr>
      <w:bookmarkStart w:id="115" w:name="_Toc113023911"/>
      <w:r>
        <w:rPr>
          <w:rFonts w:hint="eastAsia" w:ascii="Times New Roman" w:hAnsi="Times New Roman" w:eastAsia="方正楷体_GBK" w:cs="Times New Roman"/>
          <w:sz w:val="24"/>
          <w:szCs w:val="24"/>
        </w:rPr>
        <w:t xml:space="preserve">图 </w:t>
      </w:r>
      <w:r>
        <w:rPr>
          <w:rFonts w:hint="eastAsia" w:ascii="Times New Roman" w:hAnsi="Times New Roman" w:eastAsia="方正楷体_GBK" w:cs="Times New Roman"/>
          <w:sz w:val="24"/>
          <w:szCs w:val="24"/>
          <w:lang w:val="en-US" w:eastAsia="zh-CN"/>
        </w:rPr>
        <w:t>19</w:t>
      </w:r>
      <w:r>
        <w:rPr>
          <w:rFonts w:hint="eastAsia" w:ascii="Times New Roman" w:hAnsi="Times New Roman" w:eastAsia="方正楷体_GBK" w:cs="Times New Roman"/>
          <w:sz w:val="24"/>
          <w:szCs w:val="24"/>
        </w:rPr>
        <w:t xml:space="preserve"> 初中生网民上网经常从事各种活动的比例</w:t>
      </w:r>
      <w:bookmarkEnd w:id="115"/>
      <w:r>
        <w:rPr>
          <w:rFonts w:hint="eastAsia" w:ascii="Times New Roman" w:hAnsi="Times New Roman" w:eastAsia="方正楷体_GBK" w:cs="Times New Roman"/>
          <w:sz w:val="24"/>
          <w:szCs w:val="24"/>
          <w:lang w:eastAsia="zh-CN"/>
        </w:rPr>
        <w:t>（多选）</w:t>
      </w:r>
    </w:p>
    <w:p>
      <w:pPr>
        <w:autoSpaceDE w:val="0"/>
        <w:autoSpaceDN w:val="0"/>
        <w:adjustRightInd w:val="0"/>
        <w:spacing w:line="560" w:lineRule="exact"/>
        <w:ind w:firstLine="600" w:firstLineChars="200"/>
        <w:rPr>
          <w:rFonts w:eastAsia="方正仿宋_GBK"/>
          <w:kern w:val="0"/>
          <w:sz w:val="30"/>
          <w:szCs w:val="30"/>
        </w:rPr>
      </w:pPr>
      <w:bookmarkStart w:id="116" w:name="_Toc113023974"/>
      <w:r>
        <w:rPr>
          <w:rFonts w:hint="eastAsia" w:eastAsia="方正楷体_GBK" w:cs="方正楷体_GBK"/>
          <w:kern w:val="0"/>
          <w:sz w:val="30"/>
          <w:szCs w:val="30"/>
        </w:rPr>
        <w:t>3. 高中生互联网应用使用情况</w:t>
      </w:r>
      <w:bookmarkEnd w:id="116"/>
      <w:r>
        <w:rPr>
          <w:rFonts w:hint="eastAsia" w:eastAsia="方正楷体_GBK" w:cs="方正楷体_GBK"/>
          <w:kern w:val="0"/>
          <w:sz w:val="30"/>
          <w:szCs w:val="30"/>
        </w:rPr>
        <w:t>。</w:t>
      </w:r>
      <w:r>
        <w:rPr>
          <w:rFonts w:hint="eastAsia" w:eastAsia="方正仿宋_GBK"/>
          <w:kern w:val="0"/>
          <w:sz w:val="30"/>
          <w:szCs w:val="30"/>
        </w:rPr>
        <w:t>高中生更倾向于在网上从事购物和社交类活动。数据显示，高中生经常在网上购物、使用社交网站、聊天的比例均超过未成年网民平均水平23个百分点以上，且经常在网上学习、听音乐、看动画/漫画、看小说、看新闻等的比例均为各学历段最高。</w:t>
      </w:r>
    </w:p>
    <w:p>
      <w:pPr>
        <w:keepNext/>
        <w:jc w:val="center"/>
      </w:pPr>
      <w:r>
        <w:rPr>
          <w:rFonts w:hint="eastAsia"/>
        </w:rPr>
        <w:drawing>
          <wp:inline distT="0" distB="0" distL="0" distR="0">
            <wp:extent cx="5115560" cy="5800725"/>
            <wp:effectExtent l="0" t="0" r="0" b="0"/>
            <wp:docPr id="9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pPr>
        <w:pStyle w:val="10"/>
        <w:jc w:val="center"/>
        <w:rPr>
          <w:rFonts w:ascii="Times New Roman" w:hAnsi="Times New Roman" w:eastAsia="方正楷体_GBK" w:cs="Times New Roman"/>
          <w:sz w:val="24"/>
          <w:szCs w:val="24"/>
        </w:rPr>
      </w:pPr>
      <w:bookmarkStart w:id="117" w:name="_Toc113023912"/>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2</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0</w:t>
      </w:r>
      <w:r>
        <w:rPr>
          <w:rFonts w:hint="eastAsia" w:ascii="Times New Roman" w:hAnsi="Times New Roman" w:eastAsia="方正楷体_GBK" w:cs="Times New Roman"/>
          <w:sz w:val="24"/>
          <w:szCs w:val="24"/>
        </w:rPr>
        <w:t xml:space="preserve"> 高中生网民上网经常从事各种活动的比例</w:t>
      </w:r>
      <w:bookmarkEnd w:id="117"/>
      <w:r>
        <w:rPr>
          <w:rFonts w:hint="eastAsia" w:ascii="Times New Roman" w:hAnsi="Times New Roman" w:eastAsia="方正楷体_GBK" w:cs="Times New Roman"/>
          <w:sz w:val="24"/>
          <w:szCs w:val="24"/>
          <w:lang w:eastAsia="zh-CN"/>
        </w:rPr>
        <w:t>（多选）</w:t>
      </w:r>
    </w:p>
    <w:p>
      <w:pPr>
        <w:autoSpaceDE w:val="0"/>
        <w:autoSpaceDN w:val="0"/>
        <w:adjustRightInd w:val="0"/>
        <w:spacing w:line="560" w:lineRule="exact"/>
        <w:ind w:firstLine="600" w:firstLineChars="200"/>
        <w:rPr>
          <w:rFonts w:eastAsia="方正仿宋_GBK"/>
          <w:kern w:val="0"/>
          <w:sz w:val="30"/>
          <w:szCs w:val="30"/>
        </w:rPr>
      </w:pPr>
      <w:bookmarkStart w:id="118" w:name="_Toc113023975"/>
      <w:r>
        <w:rPr>
          <w:rFonts w:hint="eastAsia" w:eastAsia="方正楷体_GBK" w:cs="方正楷体_GBK"/>
          <w:kern w:val="0"/>
          <w:sz w:val="30"/>
          <w:szCs w:val="30"/>
        </w:rPr>
        <w:t>4. 中等职业教育学生互联网应用使用情况</w:t>
      </w:r>
      <w:bookmarkEnd w:id="118"/>
      <w:r>
        <w:rPr>
          <w:rFonts w:hint="eastAsia" w:eastAsia="方正楷体_GBK" w:cs="方正楷体_GBK"/>
          <w:kern w:val="0"/>
          <w:sz w:val="30"/>
          <w:szCs w:val="30"/>
        </w:rPr>
        <w:t>。</w:t>
      </w:r>
      <w:r>
        <w:rPr>
          <w:rFonts w:hint="eastAsia" w:eastAsia="方正仿宋_GBK"/>
          <w:kern w:val="0"/>
          <w:sz w:val="30"/>
          <w:szCs w:val="30"/>
        </w:rPr>
        <w:t>中等职业教育学生对于社交、购物和娱乐类应用存在明显偏好。数据显示，中等职业教育学生经常网上聊天和购物的比例均超过未成年网民平均水平22个百分点以上，经常在网上聊天、玩游戏、看直播、进行内容创作的比例均为各学历段最高。</w:t>
      </w:r>
    </w:p>
    <w:p>
      <w:pPr>
        <w:keepNext/>
        <w:jc w:val="center"/>
      </w:pPr>
      <w:r>
        <w:rPr>
          <w:rFonts w:hint="eastAsia"/>
        </w:rPr>
        <w:drawing>
          <wp:inline distT="0" distB="0" distL="0" distR="0">
            <wp:extent cx="5115560" cy="5810250"/>
            <wp:effectExtent l="0" t="0" r="0" b="0"/>
            <wp:docPr id="9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pPr>
        <w:pStyle w:val="10"/>
        <w:jc w:val="center"/>
        <w:rPr>
          <w:rFonts w:ascii="Times New Roman" w:hAnsi="Times New Roman" w:eastAsia="方正楷体_GBK" w:cs="Times New Roman"/>
          <w:sz w:val="24"/>
          <w:szCs w:val="24"/>
        </w:rPr>
      </w:pPr>
      <w:bookmarkStart w:id="119" w:name="_Toc113023913"/>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2</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1</w:t>
      </w:r>
      <w:r>
        <w:rPr>
          <w:rFonts w:hint="eastAsia" w:ascii="Times New Roman" w:hAnsi="Times New Roman" w:eastAsia="方正楷体_GBK" w:cs="Times New Roman"/>
          <w:sz w:val="24"/>
          <w:szCs w:val="24"/>
        </w:rPr>
        <w:t xml:space="preserve"> 中等职业教育学生网民上网经常从事各种活动的比例</w:t>
      </w:r>
      <w:bookmarkEnd w:id="119"/>
      <w:r>
        <w:rPr>
          <w:rFonts w:hint="eastAsia" w:ascii="Times New Roman" w:hAnsi="Times New Roman" w:eastAsia="方正楷体_GBK" w:cs="Times New Roman"/>
          <w:sz w:val="24"/>
          <w:szCs w:val="24"/>
          <w:lang w:eastAsia="zh-CN"/>
        </w:rPr>
        <w:t>（多选）</w:t>
      </w:r>
    </w:p>
    <w:p>
      <w:pPr>
        <w:pStyle w:val="50"/>
        <w:spacing w:line="560" w:lineRule="exact"/>
        <w:ind w:firstLine="600"/>
        <w:outlineLvl w:val="1"/>
        <w:rPr>
          <w:rFonts w:eastAsia="方正黑体_GBK" w:cs="方正黑体_GBK"/>
          <w:bCs/>
          <w:sz w:val="30"/>
          <w:szCs w:val="30"/>
        </w:rPr>
      </w:pPr>
      <w:bookmarkStart w:id="120" w:name="_Toc1583295546"/>
      <w:r>
        <w:rPr>
          <w:rFonts w:hint="eastAsia" w:eastAsia="方正黑体_GBK" w:cs="方正黑体_GBK"/>
          <w:bCs/>
          <w:sz w:val="30"/>
          <w:szCs w:val="30"/>
        </w:rPr>
        <w:t>二、未成年人利用互联网进行学习的情况</w:t>
      </w:r>
      <w:bookmarkEnd w:id="120"/>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根据202</w:t>
      </w:r>
      <w:r>
        <w:rPr>
          <w:rFonts w:hint="eastAsia" w:eastAsia="方正仿宋_GBK"/>
          <w:kern w:val="0"/>
          <w:sz w:val="30"/>
          <w:szCs w:val="30"/>
          <w:lang w:val="en-US" w:eastAsia="zh-CN"/>
        </w:rPr>
        <w:t>2</w:t>
      </w:r>
      <w:r>
        <w:rPr>
          <w:rFonts w:hint="eastAsia" w:eastAsia="方正仿宋_GBK"/>
          <w:kern w:val="0"/>
          <w:sz w:val="30"/>
          <w:szCs w:val="30"/>
        </w:rPr>
        <w:t>年</w:t>
      </w:r>
      <w:r>
        <w:rPr>
          <w:rFonts w:hint="eastAsia" w:eastAsia="方正仿宋_GBK"/>
          <w:kern w:val="0"/>
          <w:sz w:val="30"/>
          <w:szCs w:val="30"/>
          <w:lang w:val="en-US" w:eastAsia="zh-CN"/>
        </w:rPr>
        <w:t>7</w:t>
      </w:r>
      <w:r>
        <w:rPr>
          <w:rFonts w:hint="eastAsia" w:eastAsia="方正仿宋_GBK"/>
          <w:kern w:val="0"/>
          <w:sz w:val="30"/>
          <w:szCs w:val="30"/>
        </w:rPr>
        <w:t>月</w:t>
      </w:r>
      <w:r>
        <w:rPr>
          <w:rFonts w:hint="eastAsia" w:eastAsia="方正仿宋_GBK"/>
          <w:kern w:val="0"/>
          <w:sz w:val="30"/>
          <w:szCs w:val="30"/>
          <w:lang w:eastAsia="zh-CN"/>
        </w:rPr>
        <w:t>国家网信办</w:t>
      </w:r>
      <w:r>
        <w:rPr>
          <w:rFonts w:hint="eastAsia" w:eastAsia="方正仿宋_GBK"/>
          <w:kern w:val="0"/>
          <w:sz w:val="30"/>
          <w:szCs w:val="30"/>
        </w:rPr>
        <w:t>发布的《</w:t>
      </w:r>
      <w:r>
        <w:rPr>
          <w:rFonts w:hint="eastAsia" w:eastAsia="方正仿宋_GBK"/>
          <w:kern w:val="0"/>
          <w:sz w:val="30"/>
          <w:szCs w:val="30"/>
          <w:lang w:eastAsia="zh-CN"/>
        </w:rPr>
        <w:t>数字中国发展报告（</w:t>
      </w:r>
      <w:r>
        <w:rPr>
          <w:rFonts w:hint="eastAsia" w:eastAsia="方正仿宋_GBK"/>
          <w:kern w:val="0"/>
          <w:sz w:val="30"/>
          <w:szCs w:val="30"/>
          <w:lang w:val="en-US" w:eastAsia="zh-CN"/>
        </w:rPr>
        <w:t>2021年）</w:t>
      </w:r>
      <w:r>
        <w:rPr>
          <w:rFonts w:hint="eastAsia" w:eastAsia="方正仿宋_GBK"/>
          <w:kern w:val="0"/>
          <w:sz w:val="30"/>
          <w:szCs w:val="30"/>
        </w:rPr>
        <w:t>》</w:t>
      </w:r>
      <w:r>
        <w:rPr>
          <w:rFonts w:hint="eastAsia" w:eastAsia="方正仿宋_GBK"/>
          <w:kern w:val="0"/>
          <w:sz w:val="30"/>
          <w:szCs w:val="30"/>
          <w:lang w:eastAsia="zh-CN"/>
        </w:rPr>
        <w:t>，</w:t>
      </w:r>
      <w:r>
        <w:rPr>
          <w:rFonts w:hint="eastAsia" w:eastAsia="方正仿宋_GBK"/>
          <w:kern w:val="0"/>
          <w:sz w:val="30"/>
          <w:szCs w:val="30"/>
        </w:rPr>
        <w:t>国家智慧教育平台加快建设，我国所有中小学（含教学点）全部实现联网。随着我国教育信息化工作的推进，“互联网+教育”迅速发展，互联网在未成年人学习过程中扮演的角色愈发重要。</w:t>
      </w: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数据显示，未成年网民在过去半年中经常利用互联网进行学习的比例达到88.9%。利用互联网做作业和在线答疑的未成年网民比例分别为41.7%和32.7%，较2020年下降8.0和5.2个百分点。39.8%的未成年人开始通过互联网学习课外知识（比如在网上看公开课等），较2020年提升3.9个百分点。</w:t>
      </w:r>
    </w:p>
    <w:p>
      <w:pPr>
        <w:keepNext/>
        <w:jc w:val="center"/>
      </w:pPr>
      <w:r>
        <w:rPr>
          <w:rFonts w:hint="eastAsia"/>
        </w:rPr>
        <w:drawing>
          <wp:inline distT="0" distB="0" distL="0" distR="0">
            <wp:extent cx="5067300" cy="4162425"/>
            <wp:effectExtent l="0" t="0" r="0" b="0"/>
            <wp:docPr id="5"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pPr>
        <w:pStyle w:val="10"/>
        <w:jc w:val="center"/>
        <w:rPr>
          <w:rFonts w:hint="eastAsia" w:ascii="Times New Roman" w:hAnsi="Times New Roman" w:eastAsia="方正楷体_GBK" w:cs="Times New Roman"/>
          <w:sz w:val="24"/>
          <w:szCs w:val="24"/>
          <w:lang w:eastAsia="zh-CN"/>
        </w:rPr>
      </w:pPr>
      <w:bookmarkStart w:id="121" w:name="_Toc113023914"/>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2</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2</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未成年网民在网上从事学习活动的整体情况</w:t>
      </w:r>
      <w:bookmarkEnd w:id="121"/>
      <w:r>
        <w:rPr>
          <w:rFonts w:hint="eastAsia" w:ascii="Times New Roman" w:hAnsi="Times New Roman" w:eastAsia="方正楷体_GBK" w:cs="Times New Roman"/>
          <w:sz w:val="24"/>
          <w:szCs w:val="24"/>
          <w:lang w:eastAsia="zh-CN"/>
        </w:rPr>
        <w:t>（多选）</w:t>
      </w: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越来越多的未成年网民认同互联网对自己学习产生积极影响。数据显示，认为上网对学习有积极影响（非常有帮助或比较有帮助）的比例为71.9%，较2020年（</w:t>
      </w:r>
      <w:r>
        <w:rPr>
          <w:rFonts w:eastAsia="方正仿宋_GBK"/>
          <w:kern w:val="0"/>
          <w:sz w:val="30"/>
          <w:szCs w:val="30"/>
        </w:rPr>
        <w:t>66.2</w:t>
      </w:r>
      <w:r>
        <w:rPr>
          <w:rFonts w:hint="eastAsia" w:eastAsia="方正仿宋_GBK"/>
          <w:kern w:val="0"/>
          <w:sz w:val="30"/>
          <w:szCs w:val="30"/>
        </w:rPr>
        <w:t>%）提升5.7个百分点；认为上网占用时间造成学习退步的比例为8.2%，较2020年（11.5%）下降3.3个百分点。</w:t>
      </w:r>
    </w:p>
    <w:p>
      <w:pPr>
        <w:keepNext/>
        <w:jc w:val="center"/>
      </w:pPr>
      <w:r>
        <w:rPr>
          <w:rFonts w:hint="eastAsia"/>
        </w:rPr>
        <w:drawing>
          <wp:inline distT="0" distB="0" distL="0" distR="0">
            <wp:extent cx="4600575" cy="2381250"/>
            <wp:effectExtent l="0" t="0" r="0" b="0"/>
            <wp:docPr id="69" name="图表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pPr>
        <w:pStyle w:val="10"/>
        <w:jc w:val="center"/>
        <w:rPr>
          <w:rFonts w:ascii="Times New Roman" w:hAnsi="Times New Roman" w:eastAsia="方正楷体_GBK" w:cs="Times New Roman"/>
          <w:sz w:val="24"/>
          <w:szCs w:val="24"/>
        </w:rPr>
      </w:pPr>
      <w:bookmarkStart w:id="122" w:name="_Toc113023915"/>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2</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3</w:t>
      </w:r>
      <w:r>
        <w:rPr>
          <w:rFonts w:hint="eastAsia" w:ascii="Times New Roman" w:hAnsi="Times New Roman" w:eastAsia="方正楷体_GBK" w:cs="Times New Roman"/>
          <w:sz w:val="24"/>
          <w:szCs w:val="24"/>
        </w:rPr>
        <w:t xml:space="preserve"> 未成年网民对于上网和学习的主观看法</w:t>
      </w:r>
      <w:bookmarkEnd w:id="122"/>
    </w:p>
    <w:p>
      <w:pPr>
        <w:pStyle w:val="50"/>
        <w:spacing w:line="560" w:lineRule="exact"/>
        <w:ind w:firstLine="600"/>
        <w:outlineLvl w:val="1"/>
        <w:rPr>
          <w:rFonts w:eastAsia="方正黑体_GBK" w:cs="方正黑体_GBK"/>
          <w:bCs/>
          <w:sz w:val="30"/>
          <w:szCs w:val="30"/>
        </w:rPr>
      </w:pPr>
      <w:bookmarkStart w:id="123" w:name="_Toc1951490238"/>
      <w:r>
        <w:rPr>
          <w:rFonts w:hint="eastAsia" w:eastAsia="方正黑体_GBK" w:cs="方正黑体_GBK"/>
          <w:bCs/>
          <w:sz w:val="30"/>
          <w:szCs w:val="30"/>
        </w:rPr>
        <w:t>三、未成年人利用互联网进行娱乐的情况</w:t>
      </w:r>
      <w:bookmarkEnd w:id="123"/>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数据显示，未成年网民经常在网络上听音乐、玩游戏、看视频、看短视频、看直播的比例均较2020年有所下降。其中，经常在网上看视频的比例为38.7%，下降4.2个百分点；经常在网上听音乐的比例为63.0%，下降1.8个百分点；经常在网上看短视频的比例为47.6%，下降1.7个百分点；经常在网上看直播的比例为16.7%，下降1.5个百分点。</w:t>
      </w:r>
    </w:p>
    <w:p>
      <w:pPr>
        <w:keepNext/>
        <w:jc w:val="center"/>
      </w:pPr>
      <w:r>
        <w:rPr>
          <w:rFonts w:hint="eastAsia"/>
        </w:rPr>
        <w:drawing>
          <wp:inline distT="0" distB="0" distL="0" distR="0">
            <wp:extent cx="5115560" cy="3785870"/>
            <wp:effectExtent l="0" t="0" r="0" b="0"/>
            <wp:docPr id="41"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pPr>
        <w:pStyle w:val="10"/>
        <w:jc w:val="center"/>
        <w:rPr>
          <w:rFonts w:ascii="Times New Roman" w:hAnsi="Times New Roman" w:eastAsia="方正楷体_GBK" w:cs="Times New Roman"/>
          <w:sz w:val="24"/>
          <w:szCs w:val="24"/>
        </w:rPr>
      </w:pPr>
      <w:bookmarkStart w:id="124" w:name="_Toc113023916"/>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2</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4</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未成年网民在网上从事娱乐活动的整体情况</w:t>
      </w:r>
      <w:bookmarkEnd w:id="124"/>
    </w:p>
    <w:p>
      <w:pPr>
        <w:pStyle w:val="2"/>
        <w:spacing w:after="0"/>
        <w:ind w:firstLine="600"/>
      </w:pPr>
      <w:bookmarkStart w:id="125" w:name="_Toc113544214"/>
      <w:r>
        <w:rPr>
          <w:rFonts w:hint="eastAsia" w:eastAsia="方正仿宋_GBK"/>
          <w:kern w:val="0"/>
          <w:sz w:val="30"/>
          <w:szCs w:val="30"/>
        </w:rPr>
        <w:t xml:space="preserve">1. </w:t>
      </w:r>
      <w:r>
        <w:rPr>
          <w:rFonts w:hint="eastAsia" w:eastAsia="方正楷体_GBK" w:cs="方正楷体_GBK"/>
          <w:kern w:val="0"/>
          <w:sz w:val="30"/>
          <w:szCs w:val="30"/>
        </w:rPr>
        <w:t>未成年网民上网玩游戏的具体情况</w:t>
      </w:r>
      <w:bookmarkEnd w:id="125"/>
      <w:r>
        <w:rPr>
          <w:rFonts w:hint="eastAsia" w:eastAsia="方正仿宋_GBK"/>
          <w:kern w:val="0"/>
          <w:sz w:val="30"/>
          <w:szCs w:val="30"/>
        </w:rPr>
        <w:t>。2021年8月，国家新闻出版署发布《关于进一步严格管理 切实防止未成年人沉迷网络游戏的通知》，针对未成年人沉迷网络游戏问题进一步严格管理措施。10月，教育部等6部门发布《关于进一步加强预防中小学生沉迷网络游戏管理工作的通知》，将预防中小学生网络沉迷工作纳入教育督导范围。</w:t>
      </w: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数据显示，62.3%的未成年网民会经常在网上玩游戏，较2020年（62.5%）下降0.2个百分点。其中，玩电脑游戏的比例为26.8%，较2020年（28.9%）下降2.1个百分点；玩手机游戏的比例为53.2%，较2020年（56.4%）下降3.2个百分点。</w:t>
      </w:r>
    </w:p>
    <w:p>
      <w:pPr>
        <w:keepNext/>
        <w:jc w:val="center"/>
      </w:pPr>
      <w:r>
        <w:rPr>
          <w:rFonts w:hint="eastAsia"/>
        </w:rPr>
        <w:drawing>
          <wp:inline distT="0" distB="0" distL="0" distR="0">
            <wp:extent cx="4029075" cy="2562225"/>
            <wp:effectExtent l="0" t="0" r="0" b="0"/>
            <wp:docPr id="107"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pPr>
        <w:pStyle w:val="10"/>
        <w:jc w:val="center"/>
        <w:rPr>
          <w:rFonts w:ascii="Times New Roman" w:hAnsi="Times New Roman" w:eastAsia="方正楷体_GBK" w:cs="Times New Roman"/>
          <w:sz w:val="24"/>
          <w:szCs w:val="24"/>
        </w:rPr>
      </w:pPr>
      <w:bookmarkStart w:id="126" w:name="_Toc113023917"/>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2</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5</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未成年网民使用不同设备玩游戏的比例</w:t>
      </w:r>
      <w:bookmarkEnd w:id="126"/>
    </w:p>
    <w:p>
      <w:pPr>
        <w:autoSpaceDE w:val="0"/>
        <w:autoSpaceDN w:val="0"/>
        <w:adjustRightInd w:val="0"/>
        <w:spacing w:line="560" w:lineRule="exact"/>
        <w:ind w:firstLine="600" w:firstLineChars="200"/>
        <w:rPr>
          <w:rFonts w:hint="eastAsia" w:eastAsia="方正仿宋_GBK"/>
          <w:kern w:val="0"/>
          <w:sz w:val="30"/>
          <w:szCs w:val="30"/>
        </w:rPr>
      </w:pPr>
      <w:r>
        <w:rPr>
          <w:rFonts w:hint="eastAsia" w:eastAsia="方正仿宋_GBK"/>
          <w:kern w:val="0"/>
          <w:sz w:val="30"/>
          <w:szCs w:val="30"/>
        </w:rPr>
        <w:t>值得注意的是，尽管未成年人游戏账号的管理趋于严格，但未成年人使用家长的账号登陆游戏，从而逃避网络游戏服务时段时长管理的情况依然存在。数据显示，通过手机或电脑玩游戏的未成年网民中，使用家长账号玩过游戏的比例为31.9%。</w:t>
      </w:r>
    </w:p>
    <w:p>
      <w:pPr>
        <w:pStyle w:val="10"/>
        <w:jc w:val="center"/>
        <w:rPr>
          <w:rFonts w:hint="eastAsia" w:ascii="Times New Roman" w:hAnsi="Times New Roman" w:eastAsia="方正楷体_GBK" w:cs="Times New Roman"/>
          <w:sz w:val="24"/>
          <w:szCs w:val="24"/>
          <w:lang w:eastAsia="zh-CN"/>
        </w:rPr>
      </w:pPr>
      <w:r>
        <w:drawing>
          <wp:anchor distT="0" distB="0" distL="114300" distR="114300" simplePos="0" relativeHeight="251664384" behindDoc="0" locked="0" layoutInCell="1" allowOverlap="1">
            <wp:simplePos x="0" y="0"/>
            <wp:positionH relativeFrom="column">
              <wp:posOffset>1036955</wp:posOffset>
            </wp:positionH>
            <wp:positionV relativeFrom="paragraph">
              <wp:posOffset>169545</wp:posOffset>
            </wp:positionV>
            <wp:extent cx="3542030" cy="2125345"/>
            <wp:effectExtent l="4445" t="4445" r="15875" b="22860"/>
            <wp:wrapTopAndBottom/>
            <wp:docPr id="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anchor>
        </w:drawing>
      </w:r>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2</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6</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未成年网民</w:t>
      </w:r>
      <w:r>
        <w:rPr>
          <w:rFonts w:hint="eastAsia" w:ascii="Times New Roman" w:hAnsi="Times New Roman" w:eastAsia="方正楷体_GBK" w:cs="Times New Roman"/>
          <w:sz w:val="24"/>
          <w:szCs w:val="24"/>
          <w:lang w:eastAsia="zh-CN"/>
        </w:rPr>
        <w:t>使用家长账号</w:t>
      </w:r>
      <w:r>
        <w:rPr>
          <w:rFonts w:hint="eastAsia" w:ascii="Times New Roman" w:hAnsi="Times New Roman" w:eastAsia="方正楷体_GBK" w:cs="Times New Roman"/>
          <w:sz w:val="24"/>
          <w:szCs w:val="24"/>
        </w:rPr>
        <w:t>玩</w:t>
      </w:r>
      <w:r>
        <w:rPr>
          <w:rFonts w:hint="eastAsia" w:ascii="Times New Roman" w:hAnsi="Times New Roman" w:eastAsia="方正楷体_GBK" w:cs="Times New Roman"/>
          <w:sz w:val="24"/>
          <w:szCs w:val="24"/>
          <w:lang w:eastAsia="zh-CN"/>
        </w:rPr>
        <w:t>过</w:t>
      </w:r>
      <w:r>
        <w:rPr>
          <w:rFonts w:hint="eastAsia" w:ascii="Times New Roman" w:hAnsi="Times New Roman" w:eastAsia="方正楷体_GBK" w:cs="Times New Roman"/>
          <w:sz w:val="24"/>
          <w:szCs w:val="24"/>
        </w:rPr>
        <w:t>游戏的</w:t>
      </w:r>
      <w:r>
        <w:rPr>
          <w:rFonts w:hint="eastAsia" w:ascii="Times New Roman" w:hAnsi="Times New Roman" w:eastAsia="方正楷体_GBK" w:cs="Times New Roman"/>
          <w:sz w:val="24"/>
          <w:szCs w:val="24"/>
          <w:lang w:eastAsia="zh-CN"/>
        </w:rPr>
        <w:t>情况</w:t>
      </w:r>
    </w:p>
    <w:p>
      <w:pPr>
        <w:autoSpaceDE w:val="0"/>
        <w:autoSpaceDN w:val="0"/>
        <w:adjustRightInd w:val="0"/>
        <w:spacing w:line="560" w:lineRule="exact"/>
        <w:ind w:firstLine="600" w:firstLineChars="200"/>
        <w:rPr>
          <w:rFonts w:eastAsia="方正仿宋_GBK"/>
          <w:kern w:val="0"/>
          <w:sz w:val="30"/>
          <w:szCs w:val="30"/>
        </w:rPr>
      </w:pPr>
      <w:bookmarkStart w:id="127" w:name="_Toc113544215"/>
      <w:r>
        <w:rPr>
          <w:rFonts w:hint="eastAsia" w:eastAsia="方正仿宋_GBK"/>
          <w:kern w:val="0"/>
          <w:sz w:val="30"/>
          <w:szCs w:val="30"/>
        </w:rPr>
        <w:t xml:space="preserve">2. </w:t>
      </w:r>
      <w:r>
        <w:rPr>
          <w:rFonts w:hint="eastAsia" w:eastAsia="方正楷体_GBK" w:cs="方正楷体_GBK"/>
          <w:kern w:val="0"/>
          <w:sz w:val="30"/>
          <w:szCs w:val="30"/>
        </w:rPr>
        <w:t>未成年网民上网看短视频的具体情况</w:t>
      </w:r>
      <w:bookmarkEnd w:id="127"/>
      <w:r>
        <w:rPr>
          <w:rFonts w:hint="eastAsia" w:eastAsia="方正仿宋_GBK"/>
          <w:kern w:val="0"/>
          <w:sz w:val="30"/>
          <w:szCs w:val="30"/>
        </w:rPr>
        <w:t>。数据显示，未成年网民在互联网上经常看短视频的比例为47.6%，较2020年（49.3%）下降1.7个百分点。其中，小学生经常看短视频的比例最低，为34.0%；初中、高中、中等职业教育学生经常看短视频的比例均在60%以上。</w:t>
      </w:r>
    </w:p>
    <w:p>
      <w:pPr>
        <w:keepNext/>
        <w:jc w:val="center"/>
      </w:pPr>
      <w:r>
        <w:rPr>
          <w:rFonts w:hint="eastAsia"/>
        </w:rPr>
        <w:drawing>
          <wp:inline distT="0" distB="0" distL="0" distR="0">
            <wp:extent cx="4029075" cy="2303145"/>
            <wp:effectExtent l="0" t="0" r="0" b="0"/>
            <wp:docPr id="50"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pPr>
        <w:pStyle w:val="10"/>
        <w:jc w:val="center"/>
        <w:rPr>
          <w:rFonts w:ascii="Times New Roman" w:hAnsi="Times New Roman" w:eastAsia="方正楷体_GBK" w:cs="Times New Roman"/>
          <w:sz w:val="24"/>
          <w:szCs w:val="24"/>
        </w:rPr>
      </w:pPr>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2</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7</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不同学历段未成年网民经常观看短视频的比例</w:t>
      </w: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从短视频的内容题材来看，搞笑类题材是未成年网民最常看的内容，占66.4%，其次为休闲类题材（49.7%）和兴趣类题材（46.6%）。学习类题材占比为39.6%，略高于游戏类题材（38.3%）。</w:t>
      </w:r>
    </w:p>
    <w:p>
      <w:pPr>
        <w:keepNext/>
        <w:jc w:val="center"/>
      </w:pPr>
      <w:r>
        <w:rPr>
          <w:rFonts w:hint="eastAsia"/>
        </w:rPr>
        <w:drawing>
          <wp:inline distT="0" distB="0" distL="0" distR="0">
            <wp:extent cx="5115560" cy="3785870"/>
            <wp:effectExtent l="0" t="0" r="0" b="0"/>
            <wp:docPr id="9"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pPr>
        <w:pStyle w:val="10"/>
        <w:jc w:val="center"/>
        <w:rPr>
          <w:rFonts w:hint="eastAsia" w:ascii="Times New Roman" w:hAnsi="Times New Roman" w:eastAsia="方正楷体_GBK" w:cs="Times New Roman"/>
          <w:sz w:val="24"/>
          <w:szCs w:val="24"/>
          <w:lang w:eastAsia="zh-CN"/>
        </w:rPr>
      </w:pPr>
      <w:bookmarkStart w:id="128" w:name="_Toc113023919"/>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2</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8</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未成年短视频用户收看的内容题材</w:t>
      </w:r>
      <w:bookmarkEnd w:id="128"/>
      <w:r>
        <w:rPr>
          <w:rFonts w:hint="eastAsia" w:ascii="Times New Roman" w:hAnsi="Times New Roman" w:eastAsia="方正楷体_GBK" w:cs="Times New Roman"/>
          <w:sz w:val="24"/>
          <w:szCs w:val="24"/>
          <w:lang w:eastAsia="zh-CN"/>
        </w:rPr>
        <w:t>（多选）</w:t>
      </w: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仍有部分未成年网民存在看短视频时间过长的情况。数据显示，工作日看短视频超过2小时的</w:t>
      </w:r>
      <w:r>
        <w:rPr>
          <w:rFonts w:hint="eastAsia" w:eastAsia="方正仿宋_GBK"/>
          <w:kern w:val="0"/>
          <w:sz w:val="30"/>
          <w:szCs w:val="30"/>
          <w:lang w:eastAsia="zh-CN"/>
        </w:rPr>
        <w:t>为</w:t>
      </w:r>
      <w:r>
        <w:rPr>
          <w:rFonts w:hint="eastAsia" w:eastAsia="方正仿宋_GBK"/>
          <w:kern w:val="0"/>
          <w:sz w:val="30"/>
          <w:szCs w:val="30"/>
        </w:rPr>
        <w:t>9.8%，节假日看短视频超过3小时的达12.4%。</w:t>
      </w:r>
    </w:p>
    <w:p>
      <w:pPr>
        <w:keepNext/>
        <w:jc w:val="center"/>
      </w:pPr>
      <w:r>
        <w:rPr>
          <w:rFonts w:hint="eastAsia"/>
        </w:rPr>
        <w:drawing>
          <wp:inline distT="0" distB="0" distL="0" distR="0">
            <wp:extent cx="5252720" cy="3456940"/>
            <wp:effectExtent l="0" t="0" r="0" b="0"/>
            <wp:docPr id="48"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pPr>
        <w:pStyle w:val="10"/>
        <w:jc w:val="center"/>
        <w:rPr>
          <w:rFonts w:ascii="Times New Roman" w:hAnsi="Times New Roman" w:eastAsia="方正楷体_GBK" w:cs="Times New Roman"/>
          <w:sz w:val="24"/>
          <w:szCs w:val="24"/>
        </w:rPr>
      </w:pPr>
      <w:bookmarkStart w:id="129" w:name="_Toc113023920"/>
      <w:r>
        <w:rPr>
          <w:rFonts w:hint="eastAsia" w:ascii="Times New Roman" w:hAnsi="Times New Roman" w:eastAsia="方正楷体_GBK" w:cs="Times New Roman"/>
          <w:sz w:val="24"/>
          <w:szCs w:val="24"/>
        </w:rPr>
        <w:t xml:space="preserve">图 </w:t>
      </w:r>
      <w:r>
        <w:rPr>
          <w:rFonts w:hint="eastAsia" w:ascii="Times New Roman" w:hAnsi="Times New Roman" w:eastAsia="方正楷体_GBK" w:cs="Times New Roman"/>
          <w:sz w:val="24"/>
          <w:szCs w:val="24"/>
          <w:lang w:val="en-US" w:eastAsia="zh-CN"/>
        </w:rPr>
        <w:t>29</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未成年网民收看短视频的时长</w:t>
      </w:r>
      <w:bookmarkEnd w:id="129"/>
    </w:p>
    <w:p>
      <w:pPr>
        <w:pStyle w:val="50"/>
        <w:spacing w:line="560" w:lineRule="exact"/>
        <w:ind w:firstLine="600"/>
        <w:outlineLvl w:val="1"/>
        <w:rPr>
          <w:rFonts w:eastAsia="方正黑体_GBK" w:cs="方正黑体_GBK"/>
          <w:bCs/>
          <w:sz w:val="30"/>
          <w:szCs w:val="30"/>
        </w:rPr>
      </w:pPr>
      <w:bookmarkStart w:id="130" w:name="_Toc378609264"/>
      <w:r>
        <w:rPr>
          <w:rFonts w:hint="eastAsia" w:eastAsia="方正黑体_GBK" w:cs="方正黑体_GBK"/>
          <w:bCs/>
          <w:sz w:val="30"/>
          <w:szCs w:val="30"/>
        </w:rPr>
        <w:t>四、未成年人利用互联网进行社交的情况</w:t>
      </w:r>
      <w:bookmarkEnd w:id="130"/>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数据显示，未成年网民经常在网上聊天的比例为53.4%，较2020年（55.1%）下降</w:t>
      </w:r>
      <w:r>
        <w:rPr>
          <w:rFonts w:eastAsia="方正仿宋_GBK"/>
          <w:kern w:val="0"/>
          <w:sz w:val="30"/>
          <w:szCs w:val="30"/>
        </w:rPr>
        <w:t>1.7</w:t>
      </w:r>
      <w:r>
        <w:rPr>
          <w:rFonts w:hint="eastAsia" w:eastAsia="方正仿宋_GBK"/>
          <w:kern w:val="0"/>
          <w:sz w:val="30"/>
          <w:szCs w:val="30"/>
        </w:rPr>
        <w:t>个百分点。未成年网民使用社交网站、逛微博、逛论坛的比例相比2020年有所提升。</w:t>
      </w:r>
    </w:p>
    <w:p>
      <w:pPr>
        <w:keepNext/>
        <w:jc w:val="center"/>
      </w:pPr>
      <w:r>
        <w:rPr>
          <w:rFonts w:hint="eastAsia"/>
        </w:rPr>
        <w:drawing>
          <wp:inline distT="0" distB="0" distL="0" distR="0">
            <wp:extent cx="5305425" cy="3090545"/>
            <wp:effectExtent l="0" t="0" r="0" b="0"/>
            <wp:docPr id="4"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pPr>
        <w:autoSpaceDE w:val="0"/>
        <w:autoSpaceDN w:val="0"/>
        <w:adjustRightInd w:val="0"/>
        <w:spacing w:line="560" w:lineRule="exact"/>
        <w:ind w:firstLine="0" w:firstLineChars="0"/>
        <w:jc w:val="center"/>
        <w:rPr>
          <w:rFonts w:hint="eastAsia" w:ascii="Times New Roman" w:hAnsi="Times New Roman" w:eastAsia="方正楷体_GBK" w:cs="Times New Roman"/>
          <w:sz w:val="24"/>
          <w:szCs w:val="24"/>
          <w:lang w:eastAsia="zh-CN"/>
        </w:rPr>
      </w:pPr>
      <w:bookmarkStart w:id="131" w:name="_Toc113023922"/>
      <w:r>
        <w:rPr>
          <w:rFonts w:hint="eastAsia" w:ascii="Times New Roman" w:hAnsi="Times New Roman" w:eastAsia="方正楷体_GBK" w:cs="Times New Roman"/>
          <w:sz w:val="24"/>
          <w:szCs w:val="24"/>
        </w:rPr>
        <w:t>图 3</w:t>
      </w:r>
      <w:r>
        <w:rPr>
          <w:rFonts w:hint="eastAsia" w:ascii="Times New Roman" w:hAnsi="Times New Roman" w:eastAsia="方正楷体_GBK" w:cs="Times New Roman"/>
          <w:sz w:val="24"/>
          <w:szCs w:val="24"/>
          <w:lang w:val="en-US" w:eastAsia="zh-CN"/>
        </w:rPr>
        <w:t>0</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未成年网民在网上从事社交活动的整体情况</w:t>
      </w:r>
      <w:bookmarkEnd w:id="131"/>
      <w:r>
        <w:rPr>
          <w:rFonts w:hint="eastAsia" w:ascii="Times New Roman" w:hAnsi="Times New Roman" w:eastAsia="方正楷体_GBK" w:cs="Times New Roman"/>
          <w:sz w:val="24"/>
          <w:szCs w:val="24"/>
          <w:lang w:eastAsia="zh-CN"/>
        </w:rPr>
        <w:t>（多选）</w:t>
      </w: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2021年6月起，中央网信办等部门开展了为期两个月的“清朗·‘饭圈’乱象整治”专项行动，未成年网民参与网上粉丝应援活动的情况明显减少。未成年网民经常参与网上粉丝应援活动的比例为5.4%，较2020年（8.0%）下降2.6个百分点。所有学历段中，初中生的参与比例最高，为9.1%，其次为高中生（8.1%）、中等职业教育学生（6.9%）、小学生（2.7%）。与2020年相比，小学生经常进行网上应援活动的比例下降最为明显，下降超过</w:t>
      </w:r>
      <w:r>
        <w:rPr>
          <w:rFonts w:hint="eastAsia" w:eastAsia="方正仿宋_GBK"/>
          <w:kern w:val="0"/>
          <w:sz w:val="30"/>
          <w:szCs w:val="30"/>
          <w:lang w:val="en-US" w:eastAsia="zh-CN"/>
        </w:rPr>
        <w:t>一半</w:t>
      </w:r>
      <w:r>
        <w:rPr>
          <w:rFonts w:hint="eastAsia" w:eastAsia="方正仿宋_GBK"/>
          <w:kern w:val="0"/>
          <w:sz w:val="30"/>
          <w:szCs w:val="30"/>
        </w:rPr>
        <w:t>。</w:t>
      </w:r>
    </w:p>
    <w:p>
      <w:pPr>
        <w:pStyle w:val="10"/>
        <w:jc w:val="center"/>
        <w:rPr>
          <w:rFonts w:ascii="Times New Roman" w:hAnsi="Times New Roman" w:eastAsia="方正楷体_GBK" w:cs="Times New Roman"/>
          <w:sz w:val="24"/>
          <w:szCs w:val="24"/>
        </w:rPr>
      </w:pPr>
    </w:p>
    <w:p>
      <w:pPr>
        <w:pStyle w:val="10"/>
        <w:jc w:val="center"/>
        <w:rPr>
          <w:rFonts w:ascii="Times New Roman" w:hAnsi="Times New Roman"/>
        </w:rPr>
      </w:pPr>
      <w:r>
        <w:rPr>
          <w:rFonts w:hint="eastAsia" w:ascii="Times New Roman" w:hAnsi="Times New Roman"/>
        </w:rPr>
        <w:drawing>
          <wp:inline distT="0" distB="0" distL="0" distR="0">
            <wp:extent cx="5205095" cy="2990850"/>
            <wp:effectExtent l="0" t="0" r="0" b="0"/>
            <wp:docPr id="3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pPr>
        <w:pStyle w:val="10"/>
        <w:jc w:val="center"/>
        <w:rPr>
          <w:rFonts w:ascii="Times New Roman" w:hAnsi="Times New Roman" w:eastAsia="方正楷体_GBK" w:cs="Times New Roman"/>
          <w:sz w:val="24"/>
          <w:szCs w:val="24"/>
        </w:rPr>
      </w:pPr>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3</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1</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不同学历段网民经常网上粉丝应援的情况</w:t>
      </w:r>
    </w:p>
    <w:p>
      <w:pPr>
        <w:pStyle w:val="50"/>
        <w:spacing w:line="560" w:lineRule="exact"/>
        <w:ind w:firstLine="600"/>
        <w:outlineLvl w:val="1"/>
        <w:rPr>
          <w:rFonts w:hint="eastAsia" w:eastAsia="方正黑体_GBK" w:cs="方正黑体_GBK"/>
          <w:bCs/>
          <w:sz w:val="30"/>
          <w:szCs w:val="30"/>
        </w:rPr>
      </w:pPr>
      <w:bookmarkStart w:id="132" w:name="_Toc479476391"/>
      <w:r>
        <w:rPr>
          <w:rFonts w:hint="eastAsia" w:eastAsia="方正黑体_GBK" w:cs="方正黑体_GBK"/>
          <w:bCs/>
          <w:sz w:val="30"/>
          <w:szCs w:val="30"/>
        </w:rPr>
        <w:t>五、未成年人利用互联网获取社会信息的渠道</w:t>
      </w:r>
      <w:bookmarkEnd w:id="132"/>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互联网已经成为当前未成年人获取社会信息的重要渠道。数据显示，电视节目是未成年网民获取新闻事件、重大消息的首要渠道，为64.9%；其次是各类视频网站和官方媒体网站，分别为48.7%和48.2%。</w:t>
      </w:r>
    </w:p>
    <w:p>
      <w:pPr>
        <w:keepNext/>
        <w:jc w:val="center"/>
      </w:pPr>
      <w:r>
        <w:rPr>
          <w:rFonts w:hint="eastAsia"/>
        </w:rPr>
        <w:drawing>
          <wp:inline distT="0" distB="0" distL="0" distR="0">
            <wp:extent cx="5115560" cy="3785870"/>
            <wp:effectExtent l="0" t="0" r="0" b="0"/>
            <wp:docPr id="16"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pPr>
        <w:pStyle w:val="10"/>
        <w:jc w:val="center"/>
        <w:rPr>
          <w:rFonts w:hint="eastAsia" w:ascii="Times New Roman" w:hAnsi="Times New Roman" w:eastAsia="方正楷体_GBK" w:cs="Times New Roman"/>
          <w:sz w:val="24"/>
          <w:szCs w:val="24"/>
          <w:lang w:eastAsia="zh-CN"/>
        </w:rPr>
      </w:pPr>
      <w:bookmarkStart w:id="133" w:name="_Toc113023923"/>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3</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2</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未成年网民获取社会重大事件的信息渠道</w:t>
      </w:r>
      <w:bookmarkEnd w:id="133"/>
      <w:r>
        <w:rPr>
          <w:rFonts w:hint="eastAsia" w:ascii="Times New Roman" w:hAnsi="Times New Roman" w:eastAsia="方正楷体_GBK" w:cs="Times New Roman"/>
          <w:sz w:val="24"/>
          <w:szCs w:val="24"/>
          <w:lang w:eastAsia="zh-CN"/>
        </w:rPr>
        <w:t>（多选）</w:t>
      </w:r>
    </w:p>
    <w:p>
      <w:pPr>
        <w:autoSpaceDE w:val="0"/>
        <w:autoSpaceDN w:val="0"/>
        <w:adjustRightInd w:val="0"/>
        <w:spacing w:line="560" w:lineRule="exact"/>
        <w:ind w:firstLine="600" w:firstLineChars="200"/>
        <w:rPr>
          <w:rFonts w:eastAsia="方正仿宋_GBK"/>
          <w:kern w:val="0"/>
          <w:sz w:val="30"/>
          <w:szCs w:val="30"/>
        </w:rPr>
      </w:pPr>
      <w:bookmarkStart w:id="134" w:name="_Toc113544218"/>
      <w:r>
        <w:rPr>
          <w:rFonts w:hint="eastAsia" w:eastAsia="方正仿宋_GBK"/>
          <w:kern w:val="0"/>
          <w:sz w:val="30"/>
          <w:szCs w:val="30"/>
        </w:rPr>
        <w:t>值得注意的是，未成年短视频用户中，会有意识地区分短视频信息是官方发布还是自媒体发布的比例为48.1%。超过一半未成年短视频用户对信息发布渠道缺乏鉴别意识或没有想过这个问题。</w:t>
      </w:r>
    </w:p>
    <w:p>
      <w:pPr>
        <w:keepNext/>
        <w:jc w:val="center"/>
      </w:pPr>
      <w:r>
        <w:rPr>
          <w:rFonts w:hint="eastAsia"/>
        </w:rPr>
        <w:drawing>
          <wp:inline distT="0" distB="0" distL="0" distR="0">
            <wp:extent cx="4600575" cy="2381250"/>
            <wp:effectExtent l="0" t="0" r="0" b="0"/>
            <wp:docPr id="15" name="图表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pPr>
        <w:pStyle w:val="10"/>
        <w:jc w:val="center"/>
        <w:rPr>
          <w:rFonts w:ascii="Times New Roman" w:hAnsi="Times New Roman" w:eastAsia="方正楷体_GBK" w:cs="Times New Roman"/>
          <w:sz w:val="24"/>
          <w:szCs w:val="24"/>
        </w:rPr>
      </w:pPr>
      <w:bookmarkStart w:id="135" w:name="_Toc113023921"/>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3</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3</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未成年短视频用户对权威媒体的鉴别意识</w:t>
      </w:r>
      <w:bookmarkEnd w:id="135"/>
    </w:p>
    <w:p>
      <w:pPr>
        <w:pStyle w:val="50"/>
        <w:spacing w:line="560" w:lineRule="exact"/>
        <w:ind w:firstLine="600"/>
        <w:rPr>
          <w:rFonts w:eastAsia="方正黑体_GBK" w:cs="方正黑体_GBK"/>
          <w:bCs/>
          <w:sz w:val="30"/>
          <w:szCs w:val="30"/>
        </w:rPr>
      </w:pPr>
    </w:p>
    <w:p>
      <w:pPr>
        <w:pStyle w:val="50"/>
        <w:spacing w:line="560" w:lineRule="exact"/>
        <w:ind w:firstLine="600"/>
        <w:rPr>
          <w:rFonts w:eastAsia="方正黑体_GBK" w:cs="方正黑体_GBK"/>
          <w:bCs/>
          <w:sz w:val="30"/>
          <w:szCs w:val="30"/>
        </w:rPr>
      </w:pPr>
      <w:r>
        <w:rPr>
          <w:rFonts w:hint="eastAsia" w:eastAsia="方正黑体_GBK" w:cs="方正黑体_GBK"/>
          <w:bCs/>
          <w:sz w:val="30"/>
          <w:szCs w:val="30"/>
        </w:rPr>
        <w:t>【本章小结</w:t>
      </w:r>
      <w:bookmarkEnd w:id="134"/>
      <w:r>
        <w:rPr>
          <w:rFonts w:hint="eastAsia" w:eastAsia="方正黑体_GBK" w:cs="方正黑体_GBK"/>
          <w:bCs/>
          <w:sz w:val="30"/>
          <w:szCs w:val="30"/>
        </w:rPr>
        <w:t>】</w:t>
      </w: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未成年人互联网使用情况呈现以下五个主要特点：一是互联网已成为未成年人学习、娱乐、社交的重要工具，互联网使用偏好存在年龄差异。二是88.9%的未成年</w:t>
      </w:r>
      <w:r>
        <w:rPr>
          <w:rFonts w:hint="eastAsia" w:eastAsia="方正仿宋_GBK"/>
          <w:kern w:val="0"/>
          <w:sz w:val="30"/>
          <w:szCs w:val="30"/>
          <w:lang w:eastAsia="zh-CN"/>
        </w:rPr>
        <w:t>网民</w:t>
      </w:r>
      <w:r>
        <w:rPr>
          <w:rFonts w:hint="eastAsia" w:eastAsia="方正仿宋_GBK"/>
          <w:kern w:val="0"/>
          <w:sz w:val="30"/>
          <w:szCs w:val="30"/>
        </w:rPr>
        <w:t>经常利用互联网进行学习，71.9%的未成年</w:t>
      </w:r>
      <w:r>
        <w:rPr>
          <w:rFonts w:hint="eastAsia" w:eastAsia="方正仿宋_GBK"/>
          <w:kern w:val="0"/>
          <w:sz w:val="30"/>
          <w:szCs w:val="30"/>
          <w:lang w:eastAsia="zh-CN"/>
        </w:rPr>
        <w:t>网民</w:t>
      </w:r>
      <w:r>
        <w:rPr>
          <w:rFonts w:hint="eastAsia" w:eastAsia="方正仿宋_GBK"/>
          <w:kern w:val="0"/>
          <w:sz w:val="30"/>
          <w:szCs w:val="30"/>
        </w:rPr>
        <w:t>认为互联网对自己的学习产生了积极影响，较2020年提升5.7个百分点。三是未成年人的网上娱乐行为得到控制，未成年网民经常在网络上听音乐、玩游戏、看视频、看短视频、看直播的比例较2020年均有所下降，但未成年人使用家长账号登录游戏从而逃避网络游戏服务时段时长管理的情况值得关注。四是未成年网民参与网上粉丝应援活动的情况明显减少，较2020年下降2.6个百分点，初中仍是参与比例最高的学历段。五是视频网站等已成为未成年人获取新闻事件、重大消息的主要渠道之一。</w:t>
      </w:r>
    </w:p>
    <w:p>
      <w:pPr>
        <w:pStyle w:val="10"/>
        <w:jc w:val="center"/>
        <w:rPr>
          <w:rFonts w:ascii="Times New Roman" w:hAnsi="Times New Roman"/>
        </w:rPr>
      </w:pPr>
      <w:r>
        <w:rPr>
          <w:rFonts w:ascii="Times New Roman" w:hAnsi="Times New Roman"/>
        </w:rPr>
        <w:br w:type="page"/>
      </w:r>
    </w:p>
    <w:p>
      <w:pPr>
        <w:spacing w:line="560" w:lineRule="exact"/>
        <w:jc w:val="center"/>
        <w:outlineLvl w:val="0"/>
        <w:rPr>
          <w:rFonts w:eastAsia="方正小标宋简体" w:cs="方正小标宋简体"/>
          <w:sz w:val="40"/>
          <w:szCs w:val="40"/>
        </w:rPr>
      </w:pPr>
      <w:bookmarkStart w:id="136" w:name="_Toc1156515619"/>
      <w:r>
        <w:rPr>
          <w:rFonts w:hint="eastAsia" w:eastAsia="方正小标宋简体" w:cs="方正小标宋简体"/>
          <w:sz w:val="40"/>
          <w:szCs w:val="40"/>
        </w:rPr>
        <w:t>第四章  未成年人上网的教育与管理</w:t>
      </w:r>
      <w:bookmarkEnd w:id="136"/>
    </w:p>
    <w:p>
      <w:pPr>
        <w:autoSpaceDE w:val="0"/>
        <w:autoSpaceDN w:val="0"/>
        <w:adjustRightInd w:val="0"/>
        <w:spacing w:line="560" w:lineRule="exact"/>
        <w:ind w:firstLine="600" w:firstLineChars="200"/>
        <w:rPr>
          <w:rFonts w:eastAsia="方正仿宋_GBK"/>
          <w:kern w:val="0"/>
          <w:sz w:val="30"/>
          <w:szCs w:val="30"/>
        </w:rPr>
      </w:pP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家庭和学校是未成年人学习生活的主要场所，家长和老师对未成年人上网用网的教育与管理对未成年人互联网使用行为有重要影响。</w:t>
      </w:r>
    </w:p>
    <w:p>
      <w:pPr>
        <w:pStyle w:val="50"/>
        <w:spacing w:line="560" w:lineRule="exact"/>
        <w:ind w:firstLine="600"/>
        <w:outlineLvl w:val="1"/>
        <w:rPr>
          <w:rFonts w:eastAsia="方正黑体_GBK" w:cs="方正黑体_GBK"/>
          <w:bCs/>
          <w:sz w:val="30"/>
          <w:szCs w:val="30"/>
        </w:rPr>
      </w:pPr>
      <w:bookmarkStart w:id="137" w:name="_Toc491670965"/>
      <w:r>
        <w:rPr>
          <w:rFonts w:hint="eastAsia" w:eastAsia="方正黑体_GBK" w:cs="方正黑体_GBK"/>
          <w:bCs/>
          <w:sz w:val="30"/>
          <w:szCs w:val="30"/>
        </w:rPr>
        <w:t>一、未成年人接受网络安全教育情况</w:t>
      </w:r>
      <w:bookmarkEnd w:id="137"/>
    </w:p>
    <w:p>
      <w:pPr>
        <w:autoSpaceDE w:val="0"/>
        <w:autoSpaceDN w:val="0"/>
        <w:adjustRightInd w:val="0"/>
        <w:spacing w:line="560" w:lineRule="exact"/>
        <w:ind w:firstLine="600" w:firstLineChars="200"/>
        <w:rPr>
          <w:rFonts w:eastAsia="方正仿宋_GBK"/>
          <w:kern w:val="0"/>
          <w:sz w:val="30"/>
          <w:szCs w:val="30"/>
        </w:rPr>
      </w:pPr>
      <w:bookmarkStart w:id="138" w:name="_Toc113544224"/>
      <w:r>
        <w:rPr>
          <w:rFonts w:hint="eastAsia" w:eastAsia="方正仿宋_GBK"/>
          <w:kern w:val="0"/>
          <w:sz w:val="30"/>
          <w:szCs w:val="30"/>
        </w:rPr>
        <w:t xml:space="preserve">1. </w:t>
      </w:r>
      <w:r>
        <w:rPr>
          <w:rFonts w:hint="eastAsia" w:eastAsia="方正楷体_GBK" w:cs="方正楷体_GBK"/>
          <w:kern w:val="0"/>
          <w:sz w:val="30"/>
          <w:szCs w:val="30"/>
        </w:rPr>
        <w:t>家长对未成年子女的网络安全教育情况</w:t>
      </w:r>
      <w:bookmarkEnd w:id="138"/>
      <w:r>
        <w:rPr>
          <w:rFonts w:hint="eastAsia" w:eastAsia="方正仿宋_GBK"/>
          <w:kern w:val="0"/>
          <w:sz w:val="30"/>
          <w:szCs w:val="30"/>
        </w:rPr>
        <w:t>。91.2%的家长会对子女进行一定程度的网络安全教育，占比最高的教育内容是防范网络诈骗（75.8%）、避免个人信息泄露(67.4%）和避免浏览不良信息（66.9%）。</w:t>
      </w:r>
    </w:p>
    <w:p>
      <w:pPr>
        <w:keepNext/>
        <w:jc w:val="center"/>
      </w:pPr>
      <w:r>
        <w:drawing>
          <wp:inline distT="0" distB="0" distL="0" distR="0">
            <wp:extent cx="5077460" cy="3862070"/>
            <wp:effectExtent l="0" t="0" r="0" b="0"/>
            <wp:docPr id="37"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pPr>
        <w:pStyle w:val="10"/>
        <w:jc w:val="center"/>
        <w:rPr>
          <w:rFonts w:ascii="Times New Roman" w:hAnsi="Times New Roman" w:eastAsia="方正楷体_GBK" w:cs="Times New Roman"/>
          <w:sz w:val="24"/>
          <w:szCs w:val="24"/>
        </w:rPr>
      </w:pPr>
      <w:bookmarkStart w:id="139" w:name="_Toc113023942"/>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3</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4</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家长对未成年人的网络安全教育情况</w:t>
      </w:r>
      <w:bookmarkEnd w:id="139"/>
      <w:r>
        <w:rPr>
          <w:rFonts w:hint="eastAsia" w:ascii="Times New Roman" w:hAnsi="Times New Roman" w:eastAsia="方正楷体_GBK" w:cs="Times New Roman"/>
          <w:sz w:val="24"/>
          <w:szCs w:val="24"/>
          <w:lang w:eastAsia="zh-CN"/>
        </w:rPr>
        <w:t>（多选）</w:t>
      </w:r>
    </w:p>
    <w:p>
      <w:pPr>
        <w:autoSpaceDE w:val="0"/>
        <w:autoSpaceDN w:val="0"/>
        <w:adjustRightInd w:val="0"/>
        <w:spacing w:line="560" w:lineRule="exact"/>
        <w:ind w:firstLine="600" w:firstLineChars="200"/>
        <w:rPr>
          <w:rFonts w:eastAsia="方正仿宋_GBK"/>
          <w:kern w:val="0"/>
          <w:sz w:val="30"/>
          <w:szCs w:val="30"/>
        </w:rPr>
      </w:pPr>
      <w:bookmarkStart w:id="140" w:name="_Toc113544225"/>
      <w:r>
        <w:rPr>
          <w:rFonts w:hint="eastAsia" w:eastAsia="方正仿宋_GBK"/>
          <w:kern w:val="0"/>
          <w:sz w:val="30"/>
          <w:szCs w:val="30"/>
        </w:rPr>
        <w:t xml:space="preserve">2. </w:t>
      </w:r>
      <w:r>
        <w:rPr>
          <w:rFonts w:hint="eastAsia" w:eastAsia="方正楷体_GBK" w:cs="方正楷体_GBK"/>
          <w:kern w:val="0"/>
          <w:sz w:val="30"/>
          <w:szCs w:val="30"/>
        </w:rPr>
        <w:t>中小学校对学生的网络安全教育情况</w:t>
      </w:r>
      <w:bookmarkEnd w:id="140"/>
      <w:r>
        <w:rPr>
          <w:rFonts w:hint="eastAsia" w:eastAsia="方正仿宋_GBK"/>
          <w:kern w:val="0"/>
          <w:sz w:val="30"/>
          <w:szCs w:val="30"/>
        </w:rPr>
        <w:t>。84.6%的教师（主要是班主任）表示学校为学生设置了网络安全教育课程，97.7%的教师会对学生进行一定程度的网络安全教育，86.7%的未成年网民表示在学校学习过网络安全相关课程。值得注意的是，尽管66.9%的家长和77.6%的教师都会教育未成年人上网时避免浏览不良内容，但只有38.9%的家长和48.3%的教师会教育未成年人对不良内容进行举报。</w:t>
      </w:r>
    </w:p>
    <w:p>
      <w:pPr>
        <w:keepNext/>
        <w:jc w:val="center"/>
      </w:pPr>
      <w:r>
        <w:drawing>
          <wp:inline distT="0" distB="0" distL="0" distR="0">
            <wp:extent cx="5077460" cy="3862070"/>
            <wp:effectExtent l="0" t="0" r="0" b="0"/>
            <wp:docPr id="44"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p>
      <w:pPr>
        <w:pStyle w:val="10"/>
        <w:jc w:val="center"/>
        <w:rPr>
          <w:rFonts w:ascii="Times New Roman" w:hAnsi="Times New Roman" w:eastAsia="方正楷体_GBK" w:cs="Times New Roman"/>
          <w:sz w:val="24"/>
          <w:szCs w:val="24"/>
        </w:rPr>
      </w:pPr>
      <w:bookmarkStart w:id="141" w:name="_Toc113023954"/>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3</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5</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中小学校对未成年人网络安全教育情况</w:t>
      </w:r>
      <w:bookmarkEnd w:id="141"/>
      <w:r>
        <w:rPr>
          <w:rFonts w:hint="eastAsia" w:ascii="Times New Roman" w:hAnsi="Times New Roman" w:eastAsia="方正楷体_GBK" w:cs="Times New Roman"/>
          <w:sz w:val="24"/>
          <w:szCs w:val="24"/>
          <w:lang w:eastAsia="zh-CN"/>
        </w:rPr>
        <w:t>（多选）</w:t>
      </w:r>
    </w:p>
    <w:p>
      <w:pPr>
        <w:keepNext/>
        <w:jc w:val="center"/>
      </w:pPr>
      <w:r>
        <w:rPr>
          <w:rFonts w:hint="eastAsia"/>
        </w:rPr>
        <w:drawing>
          <wp:inline distT="0" distB="0" distL="0" distR="0">
            <wp:extent cx="4600575" cy="2381250"/>
            <wp:effectExtent l="0" t="0" r="0" b="0"/>
            <wp:docPr id="22" name="图表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p>
    <w:p>
      <w:pPr>
        <w:pStyle w:val="10"/>
        <w:jc w:val="center"/>
        <w:rPr>
          <w:rFonts w:ascii="Times New Roman" w:hAnsi="Times New Roman" w:eastAsia="方正楷体_GBK" w:cs="Times New Roman"/>
          <w:sz w:val="24"/>
          <w:szCs w:val="24"/>
        </w:rPr>
      </w:pPr>
      <w:bookmarkStart w:id="142" w:name="_Toc113023936"/>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3</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6</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在校学习过网络安全相关课程的学生比例</w:t>
      </w:r>
      <w:bookmarkEnd w:id="142"/>
    </w:p>
    <w:p>
      <w:pPr>
        <w:pStyle w:val="50"/>
        <w:spacing w:line="560" w:lineRule="exact"/>
        <w:ind w:firstLine="600"/>
        <w:outlineLvl w:val="1"/>
        <w:rPr>
          <w:rFonts w:eastAsia="方正黑体_GBK" w:cs="方正黑体_GBK"/>
          <w:bCs/>
          <w:sz w:val="30"/>
          <w:szCs w:val="30"/>
        </w:rPr>
      </w:pPr>
      <w:bookmarkStart w:id="143" w:name="_Toc1455388762"/>
      <w:r>
        <w:rPr>
          <w:rFonts w:hint="eastAsia" w:eastAsia="方正黑体_GBK" w:cs="方正黑体_GBK"/>
          <w:bCs/>
          <w:sz w:val="30"/>
          <w:szCs w:val="30"/>
        </w:rPr>
        <w:t>二、家长对未成年子女上网的监督管理情况</w:t>
      </w:r>
      <w:bookmarkEnd w:id="143"/>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54.0%的家长要求孩子的上网行为必须在自己的监督之下。79.7%的家长会与孩子进行约定，允许孩子适度上网娱乐；13.0%的家长禁止孩子上网娱乐；7.3%的家长不会限制孩子的上网娱乐行为。</w:t>
      </w:r>
    </w:p>
    <w:p>
      <w:pPr>
        <w:pStyle w:val="10"/>
        <w:keepNext/>
        <w:jc w:val="center"/>
        <w:rPr>
          <w:rFonts w:ascii="Times New Roman" w:hAnsi="Times New Roman"/>
        </w:rPr>
      </w:pPr>
      <w:r>
        <w:rPr>
          <w:rFonts w:hint="eastAsia" w:ascii="Times New Roman" w:hAnsi="Times New Roman"/>
        </w:rPr>
        <w:drawing>
          <wp:inline distT="0" distB="0" distL="0" distR="0">
            <wp:extent cx="4600575" cy="2381250"/>
            <wp:effectExtent l="0" t="0" r="0" b="0"/>
            <wp:docPr id="35" name="图表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inline>
        </w:drawing>
      </w:r>
    </w:p>
    <w:p>
      <w:pPr>
        <w:pStyle w:val="10"/>
        <w:jc w:val="center"/>
        <w:rPr>
          <w:rFonts w:ascii="Times New Roman" w:hAnsi="Times New Roman" w:eastAsia="方正楷体_GBK" w:cs="Times New Roman"/>
          <w:sz w:val="24"/>
          <w:szCs w:val="24"/>
        </w:rPr>
      </w:pPr>
      <w:bookmarkStart w:id="144" w:name="_Toc113023940"/>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3</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7</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家长对孩子网上行为的监督方式</w:t>
      </w:r>
      <w:bookmarkEnd w:id="144"/>
    </w:p>
    <w:p>
      <w:pPr>
        <w:keepNext/>
        <w:jc w:val="center"/>
      </w:pPr>
      <w:r>
        <w:rPr>
          <w:rFonts w:hint="eastAsia"/>
        </w:rPr>
        <w:drawing>
          <wp:inline distT="0" distB="0" distL="0" distR="0">
            <wp:extent cx="4600575" cy="2381250"/>
            <wp:effectExtent l="0" t="0" r="0" b="0"/>
            <wp:docPr id="18" name="图表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59"/>
              </a:graphicData>
            </a:graphic>
          </wp:inline>
        </w:drawing>
      </w:r>
    </w:p>
    <w:p>
      <w:pPr>
        <w:pStyle w:val="10"/>
        <w:jc w:val="center"/>
        <w:rPr>
          <w:rFonts w:ascii="Times New Roman" w:hAnsi="Times New Roman" w:eastAsia="方正楷体_GBK" w:cs="Times New Roman"/>
          <w:sz w:val="24"/>
          <w:szCs w:val="24"/>
        </w:rPr>
      </w:pPr>
      <w:bookmarkStart w:id="145" w:name="_Toc113023941"/>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3</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8</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家长对孩子网上娱乐活动的管理方式</w:t>
      </w:r>
      <w:bookmarkEnd w:id="145"/>
    </w:p>
    <w:p>
      <w:pPr>
        <w:pStyle w:val="50"/>
        <w:spacing w:line="560" w:lineRule="exact"/>
        <w:ind w:firstLine="600"/>
        <w:outlineLvl w:val="1"/>
        <w:rPr>
          <w:rFonts w:eastAsia="方正黑体_GBK" w:cs="方正黑体_GBK"/>
          <w:bCs/>
          <w:sz w:val="30"/>
          <w:szCs w:val="30"/>
        </w:rPr>
      </w:pPr>
      <w:bookmarkStart w:id="146" w:name="_Toc886206991"/>
      <w:r>
        <w:rPr>
          <w:rFonts w:hint="eastAsia" w:eastAsia="方正黑体_GBK" w:cs="方正黑体_GBK"/>
          <w:bCs/>
          <w:sz w:val="30"/>
          <w:szCs w:val="30"/>
        </w:rPr>
        <w:t>三、青少年模式对未成年人的影响</w:t>
      </w:r>
      <w:bookmarkEnd w:id="146"/>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青少年模式”是指短视频和直播等平台上线的“青少年防沉迷系统”。2019年3月起，国家互联网信息办公室指导组织抖音、快手、火山小视频等短视频平台试点青少年模式，并在全国主要网络短视频平台全面推广。2021年6月1日起施行的新修订《未成年人保护法》增设“网络保护”专章，分别对网络服务提供者和未成年人的监护人设置使用相关保护性限制功能作了明确规定。</w:t>
      </w:r>
    </w:p>
    <w:p>
      <w:pPr>
        <w:autoSpaceDE w:val="0"/>
        <w:autoSpaceDN w:val="0"/>
        <w:adjustRightInd w:val="0"/>
        <w:spacing w:line="560" w:lineRule="exact"/>
        <w:ind w:firstLine="600" w:firstLineChars="200"/>
        <w:rPr>
          <w:rFonts w:eastAsia="方正仿宋_GBK"/>
          <w:kern w:val="0"/>
          <w:sz w:val="30"/>
          <w:szCs w:val="30"/>
        </w:rPr>
      </w:pPr>
      <w:bookmarkStart w:id="147" w:name="_Toc113544227"/>
      <w:r>
        <w:rPr>
          <w:rFonts w:hint="eastAsia" w:eastAsia="方正仿宋_GBK"/>
          <w:kern w:val="0"/>
          <w:sz w:val="30"/>
          <w:szCs w:val="30"/>
        </w:rPr>
        <w:t xml:space="preserve">1. </w:t>
      </w:r>
      <w:r>
        <w:rPr>
          <w:rFonts w:hint="eastAsia" w:eastAsia="方正楷体_GBK" w:cs="方正楷体_GBK"/>
          <w:kern w:val="0"/>
          <w:sz w:val="30"/>
          <w:szCs w:val="30"/>
        </w:rPr>
        <w:t>青少年模式的使用情况</w:t>
      </w:r>
      <w:bookmarkEnd w:id="147"/>
      <w:r>
        <w:rPr>
          <w:rFonts w:hint="eastAsia" w:eastAsia="方正仿宋_GBK"/>
          <w:kern w:val="0"/>
          <w:sz w:val="30"/>
          <w:szCs w:val="30"/>
        </w:rPr>
        <w:t>。数据显示，85.9%的未成年网民知道青少年模式，设置过该模式的比例为48.2%。91.6%的家长知道青少年模式，44.4%虽然知道但没有给孩子设置过。</w:t>
      </w:r>
    </w:p>
    <w:p>
      <w:pPr>
        <w:keepNext/>
        <w:jc w:val="center"/>
      </w:pPr>
      <w:r>
        <w:rPr>
          <w:rFonts w:hint="eastAsia"/>
        </w:rPr>
        <w:drawing>
          <wp:inline distT="0" distB="0" distL="0" distR="0">
            <wp:extent cx="4600575" cy="2381250"/>
            <wp:effectExtent l="0" t="0" r="0" b="0"/>
            <wp:docPr id="3" name="图表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60"/>
              </a:graphicData>
            </a:graphic>
          </wp:inline>
        </w:drawing>
      </w:r>
    </w:p>
    <w:p>
      <w:pPr>
        <w:pStyle w:val="10"/>
        <w:jc w:val="center"/>
        <w:rPr>
          <w:rFonts w:ascii="Times New Roman" w:hAnsi="Times New Roman" w:eastAsia="方正楷体_GBK" w:cs="Times New Roman"/>
          <w:sz w:val="24"/>
          <w:szCs w:val="24"/>
        </w:rPr>
      </w:pPr>
      <w:bookmarkStart w:id="148" w:name="_Toc113023924"/>
      <w:r>
        <w:rPr>
          <w:rFonts w:hint="eastAsia" w:ascii="Times New Roman" w:hAnsi="Times New Roman" w:eastAsia="方正楷体_GBK" w:cs="Times New Roman"/>
          <w:sz w:val="24"/>
          <w:szCs w:val="24"/>
        </w:rPr>
        <w:t xml:space="preserve">图 </w:t>
      </w:r>
      <w:r>
        <w:rPr>
          <w:rFonts w:hint="eastAsia" w:ascii="Times New Roman" w:hAnsi="Times New Roman" w:eastAsia="方正楷体_GBK" w:cs="Times New Roman"/>
          <w:sz w:val="24"/>
          <w:szCs w:val="24"/>
          <w:lang w:val="en-US" w:eastAsia="zh-CN"/>
        </w:rPr>
        <w:t>39</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青少年模式在未成年网民中的使用情况</w:t>
      </w:r>
      <w:bookmarkEnd w:id="148"/>
    </w:p>
    <w:p>
      <w:pPr>
        <w:keepNext/>
        <w:jc w:val="center"/>
      </w:pPr>
      <w:r>
        <w:rPr>
          <w:rFonts w:hint="eastAsia"/>
        </w:rPr>
        <w:drawing>
          <wp:inline distT="0" distB="0" distL="0" distR="0">
            <wp:extent cx="4600575" cy="2381250"/>
            <wp:effectExtent l="0" t="0" r="0" b="0"/>
            <wp:docPr id="39" name="图表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61"/>
              </a:graphicData>
            </a:graphic>
          </wp:inline>
        </w:drawing>
      </w:r>
    </w:p>
    <w:p>
      <w:pPr>
        <w:pStyle w:val="10"/>
        <w:jc w:val="center"/>
        <w:rPr>
          <w:rFonts w:ascii="Times New Roman" w:hAnsi="Times New Roman" w:eastAsia="方正楷体_GBK" w:cs="Times New Roman"/>
          <w:sz w:val="24"/>
          <w:szCs w:val="24"/>
        </w:rPr>
      </w:pPr>
      <w:bookmarkStart w:id="149" w:name="_Toc113023943"/>
      <w:r>
        <w:rPr>
          <w:rFonts w:hint="eastAsia" w:ascii="Times New Roman" w:hAnsi="Times New Roman" w:eastAsia="方正楷体_GBK" w:cs="Times New Roman"/>
          <w:sz w:val="24"/>
          <w:szCs w:val="24"/>
        </w:rPr>
        <w:t>图 4</w:t>
      </w:r>
      <w:r>
        <w:rPr>
          <w:rFonts w:hint="eastAsia" w:ascii="Times New Roman" w:hAnsi="Times New Roman" w:eastAsia="方正楷体_GBK" w:cs="Times New Roman"/>
          <w:sz w:val="24"/>
          <w:szCs w:val="24"/>
          <w:lang w:val="en-US" w:eastAsia="zh-CN"/>
        </w:rPr>
        <w:t>0</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家长对青少年模式的使用情况</w:t>
      </w:r>
      <w:bookmarkEnd w:id="149"/>
    </w:p>
    <w:p>
      <w:pPr>
        <w:autoSpaceDE w:val="0"/>
        <w:autoSpaceDN w:val="0"/>
        <w:adjustRightInd w:val="0"/>
        <w:spacing w:line="560" w:lineRule="exact"/>
        <w:ind w:firstLine="600" w:firstLineChars="200"/>
        <w:rPr>
          <w:rFonts w:eastAsia="方正仿宋_GBK"/>
          <w:kern w:val="0"/>
          <w:sz w:val="30"/>
          <w:szCs w:val="30"/>
        </w:rPr>
      </w:pPr>
      <w:bookmarkStart w:id="150" w:name="_Toc113544228"/>
      <w:r>
        <w:rPr>
          <w:rFonts w:hint="eastAsia" w:eastAsia="方正仿宋_GBK"/>
          <w:kern w:val="0"/>
          <w:sz w:val="30"/>
          <w:szCs w:val="30"/>
        </w:rPr>
        <w:t xml:space="preserve">2. </w:t>
      </w:r>
      <w:r>
        <w:rPr>
          <w:rFonts w:hint="eastAsia" w:eastAsia="方正楷体_GBK" w:cs="方正楷体_GBK"/>
          <w:kern w:val="0"/>
          <w:sz w:val="30"/>
          <w:szCs w:val="30"/>
        </w:rPr>
        <w:t>青少年模式的</w:t>
      </w:r>
      <w:bookmarkEnd w:id="150"/>
      <w:r>
        <w:rPr>
          <w:rFonts w:hint="eastAsia" w:eastAsia="方正楷体_GBK" w:cs="方正楷体_GBK"/>
          <w:kern w:val="0"/>
          <w:sz w:val="30"/>
          <w:szCs w:val="30"/>
        </w:rPr>
        <w:t>作用及满意度</w:t>
      </w:r>
      <w:r>
        <w:rPr>
          <w:rFonts w:hint="eastAsia" w:eastAsia="方正仿宋_GBK"/>
          <w:kern w:val="0"/>
          <w:sz w:val="30"/>
          <w:szCs w:val="30"/>
        </w:rPr>
        <w:t>。青少年模式在帮助未成年人减少网络依赖和网络不良信息影响方面发挥了较为积极的作用。数据显示，在设置过青少年模式的未成年网民中，认为自己非常依赖或比较依赖互联网的比例为12.6%；而没设置过该模式的未成年网民中，这个比例为31.1%。</w:t>
      </w:r>
    </w:p>
    <w:p>
      <w:pPr>
        <w:keepNext/>
        <w:jc w:val="center"/>
      </w:pPr>
      <w:r>
        <w:rPr>
          <w:rFonts w:hint="eastAsia"/>
        </w:rPr>
        <w:drawing>
          <wp:inline distT="0" distB="0" distL="0" distR="0">
            <wp:extent cx="4029075" cy="2562225"/>
            <wp:effectExtent l="0" t="0" r="0" b="0"/>
            <wp:docPr id="5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inline>
        </w:drawing>
      </w:r>
    </w:p>
    <w:p>
      <w:pPr>
        <w:pStyle w:val="10"/>
        <w:jc w:val="center"/>
        <w:rPr>
          <w:rFonts w:hint="eastAsia" w:ascii="Times New Roman" w:hAnsi="Times New Roman" w:eastAsia="方正楷体_GBK" w:cs="Times New Roman"/>
          <w:sz w:val="24"/>
          <w:szCs w:val="24"/>
          <w:lang w:eastAsia="zh-CN"/>
        </w:rPr>
      </w:pPr>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4</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1</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lang w:eastAsia="zh-CN"/>
        </w:rPr>
        <w:t>是否设置</w:t>
      </w:r>
      <w:r>
        <w:rPr>
          <w:rFonts w:hint="eastAsia" w:ascii="Times New Roman" w:hAnsi="Times New Roman" w:eastAsia="方正楷体_GBK" w:cs="Times New Roman"/>
          <w:sz w:val="24"/>
          <w:szCs w:val="24"/>
        </w:rPr>
        <w:t>青少年模式</w:t>
      </w:r>
      <w:r>
        <w:rPr>
          <w:rFonts w:hint="eastAsia" w:ascii="Times New Roman" w:hAnsi="Times New Roman" w:eastAsia="方正楷体_GBK" w:cs="Times New Roman"/>
          <w:sz w:val="24"/>
          <w:szCs w:val="24"/>
          <w:lang w:eastAsia="zh-CN"/>
        </w:rPr>
        <w:t>与</w:t>
      </w:r>
      <w:r>
        <w:rPr>
          <w:rFonts w:hint="eastAsia" w:ascii="Times New Roman" w:hAnsi="Times New Roman" w:eastAsia="方正楷体_GBK" w:cs="Times New Roman"/>
          <w:sz w:val="24"/>
          <w:szCs w:val="24"/>
        </w:rPr>
        <w:t>未成年</w:t>
      </w:r>
      <w:r>
        <w:rPr>
          <w:rFonts w:hint="eastAsia" w:ascii="Times New Roman" w:hAnsi="Times New Roman" w:eastAsia="方正楷体_GBK" w:cs="Times New Roman"/>
          <w:sz w:val="24"/>
          <w:szCs w:val="24"/>
          <w:lang w:eastAsia="zh-CN"/>
        </w:rPr>
        <w:t>人</w:t>
      </w:r>
      <w:r>
        <w:rPr>
          <w:rFonts w:hint="eastAsia" w:ascii="Times New Roman" w:hAnsi="Times New Roman" w:eastAsia="方正楷体_GBK" w:cs="Times New Roman"/>
          <w:sz w:val="24"/>
          <w:szCs w:val="24"/>
        </w:rPr>
        <w:t>网络依赖的</w:t>
      </w:r>
      <w:r>
        <w:rPr>
          <w:rFonts w:hint="eastAsia" w:ascii="Times New Roman" w:hAnsi="Times New Roman" w:eastAsia="方正楷体_GBK" w:cs="Times New Roman"/>
          <w:sz w:val="24"/>
          <w:szCs w:val="24"/>
          <w:lang w:eastAsia="zh-CN"/>
        </w:rPr>
        <w:t>比例</w:t>
      </w: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设置青少年模式还会减少未成年网民遭遇网络不良信息问题。设置过青少年模式的未成年网民中，遭遇过网络不良信息的比例为34.7%；而没设置过的未成年网民中，该比例为47.0%。</w:t>
      </w:r>
    </w:p>
    <w:p>
      <w:pPr>
        <w:keepNext/>
        <w:jc w:val="center"/>
      </w:pPr>
      <w:r>
        <w:rPr>
          <w:rFonts w:hint="eastAsia"/>
        </w:rPr>
        <w:drawing>
          <wp:inline distT="0" distB="0" distL="0" distR="0">
            <wp:extent cx="4029075" cy="2562225"/>
            <wp:effectExtent l="0" t="0" r="0" b="0"/>
            <wp:docPr id="54"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3"/>
              </a:graphicData>
            </a:graphic>
          </wp:inline>
        </w:drawing>
      </w:r>
    </w:p>
    <w:p>
      <w:pPr>
        <w:pStyle w:val="10"/>
        <w:jc w:val="center"/>
        <w:rPr>
          <w:rFonts w:hint="eastAsia" w:ascii="Times New Roman" w:hAnsi="Times New Roman" w:eastAsia="方正楷体_GBK" w:cs="Times New Roman"/>
          <w:sz w:val="24"/>
          <w:szCs w:val="24"/>
          <w:lang w:eastAsia="zh-CN"/>
        </w:rPr>
      </w:pPr>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4</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2</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lang w:eastAsia="zh-CN"/>
        </w:rPr>
        <w:t>是否设置</w:t>
      </w:r>
      <w:r>
        <w:rPr>
          <w:rFonts w:hint="eastAsia" w:ascii="Times New Roman" w:hAnsi="Times New Roman" w:eastAsia="方正楷体_GBK" w:cs="Times New Roman"/>
          <w:sz w:val="24"/>
          <w:szCs w:val="24"/>
        </w:rPr>
        <w:t>青少年模式</w:t>
      </w:r>
      <w:r>
        <w:rPr>
          <w:rFonts w:hint="eastAsia" w:ascii="Times New Roman" w:hAnsi="Times New Roman" w:eastAsia="方正楷体_GBK" w:cs="Times New Roman"/>
          <w:sz w:val="24"/>
          <w:szCs w:val="24"/>
          <w:lang w:eastAsia="zh-CN"/>
        </w:rPr>
        <w:t>与</w:t>
      </w:r>
      <w:r>
        <w:rPr>
          <w:rFonts w:hint="eastAsia" w:ascii="Times New Roman" w:hAnsi="Times New Roman" w:eastAsia="方正楷体_GBK" w:cs="Times New Roman"/>
          <w:sz w:val="24"/>
          <w:szCs w:val="24"/>
        </w:rPr>
        <w:t>未成年</w:t>
      </w:r>
      <w:r>
        <w:rPr>
          <w:rFonts w:hint="eastAsia" w:ascii="Times New Roman" w:hAnsi="Times New Roman" w:eastAsia="方正楷体_GBK" w:cs="Times New Roman"/>
          <w:sz w:val="24"/>
          <w:szCs w:val="24"/>
          <w:lang w:eastAsia="zh-CN"/>
        </w:rPr>
        <w:t>人</w:t>
      </w:r>
      <w:r>
        <w:rPr>
          <w:rFonts w:hint="eastAsia" w:ascii="Times New Roman" w:hAnsi="Times New Roman" w:eastAsia="方正楷体_GBK" w:cs="Times New Roman"/>
          <w:sz w:val="24"/>
          <w:szCs w:val="24"/>
        </w:rPr>
        <w:t>遭遇网络不良信息的</w:t>
      </w:r>
      <w:r>
        <w:rPr>
          <w:rFonts w:hint="eastAsia" w:ascii="Times New Roman" w:hAnsi="Times New Roman" w:eastAsia="方正楷体_GBK" w:cs="Times New Roman"/>
          <w:sz w:val="24"/>
          <w:szCs w:val="24"/>
          <w:lang w:eastAsia="zh-CN"/>
        </w:rPr>
        <w:t>比例</w:t>
      </w: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lang w:val="en-US" w:eastAsia="zh-CN"/>
        </w:rPr>
        <w:t>10.5%</w:t>
      </w:r>
      <w:r>
        <w:rPr>
          <w:rFonts w:hint="eastAsia" w:eastAsia="方正仿宋_GBK"/>
          <w:kern w:val="0"/>
          <w:sz w:val="30"/>
          <w:szCs w:val="30"/>
          <w:lang w:eastAsia="zh-CN"/>
        </w:rPr>
        <w:t>的</w:t>
      </w:r>
      <w:r>
        <w:rPr>
          <w:rFonts w:hint="eastAsia" w:eastAsia="方正仿宋_GBK"/>
          <w:kern w:val="0"/>
          <w:sz w:val="30"/>
          <w:szCs w:val="30"/>
        </w:rPr>
        <w:t>未成年网民</w:t>
      </w:r>
      <w:r>
        <w:rPr>
          <w:rFonts w:hint="eastAsia" w:eastAsia="方正仿宋_GBK"/>
          <w:kern w:val="0"/>
          <w:sz w:val="30"/>
          <w:szCs w:val="30"/>
          <w:lang w:eastAsia="zh-CN"/>
        </w:rPr>
        <w:t>表示</w:t>
      </w:r>
      <w:r>
        <w:rPr>
          <w:rFonts w:hint="eastAsia" w:eastAsia="方正仿宋_GBK"/>
          <w:kern w:val="0"/>
          <w:sz w:val="30"/>
          <w:szCs w:val="30"/>
        </w:rPr>
        <w:t>对</w:t>
      </w:r>
      <w:r>
        <w:rPr>
          <w:rFonts w:hint="eastAsia" w:eastAsia="方正仿宋_GBK"/>
          <w:kern w:val="0"/>
          <w:sz w:val="30"/>
          <w:szCs w:val="30"/>
          <w:lang w:eastAsia="zh-CN"/>
        </w:rPr>
        <w:t>现在的</w:t>
      </w:r>
      <w:r>
        <w:rPr>
          <w:rFonts w:hint="eastAsia" w:eastAsia="方正仿宋_GBK"/>
          <w:kern w:val="0"/>
          <w:sz w:val="30"/>
          <w:szCs w:val="30"/>
        </w:rPr>
        <w:t>青少年模式</w:t>
      </w:r>
      <w:r>
        <w:rPr>
          <w:rFonts w:hint="eastAsia" w:eastAsia="方正仿宋_GBK"/>
          <w:kern w:val="0"/>
          <w:sz w:val="30"/>
          <w:szCs w:val="30"/>
          <w:lang w:eastAsia="zh-CN"/>
        </w:rPr>
        <w:t>还不</w:t>
      </w:r>
      <w:r>
        <w:rPr>
          <w:rFonts w:hint="eastAsia" w:eastAsia="方正仿宋_GBK"/>
          <w:kern w:val="0"/>
          <w:sz w:val="30"/>
          <w:szCs w:val="30"/>
        </w:rPr>
        <w:t>满意，</w:t>
      </w:r>
      <w:r>
        <w:rPr>
          <w:rFonts w:hint="eastAsia" w:eastAsia="方正仿宋_GBK"/>
          <w:kern w:val="0"/>
          <w:sz w:val="30"/>
          <w:szCs w:val="30"/>
          <w:lang w:val="en-US" w:eastAsia="zh-CN"/>
        </w:rPr>
        <w:t>40.1</w:t>
      </w:r>
      <w:r>
        <w:rPr>
          <w:rFonts w:hint="eastAsia" w:eastAsia="方正仿宋_GBK"/>
          <w:kern w:val="0"/>
          <w:sz w:val="30"/>
          <w:szCs w:val="30"/>
        </w:rPr>
        <w:t>%的家长和</w:t>
      </w:r>
      <w:r>
        <w:rPr>
          <w:rFonts w:hint="eastAsia" w:eastAsia="方正仿宋_GBK"/>
          <w:kern w:val="0"/>
          <w:sz w:val="30"/>
          <w:szCs w:val="30"/>
          <w:lang w:val="en-US" w:eastAsia="zh-CN"/>
        </w:rPr>
        <w:t>46.2</w:t>
      </w:r>
      <w:r>
        <w:rPr>
          <w:rFonts w:hint="eastAsia" w:eastAsia="方正仿宋_GBK"/>
          <w:kern w:val="0"/>
          <w:sz w:val="30"/>
          <w:szCs w:val="30"/>
        </w:rPr>
        <w:t>%的教师认为青少年模式</w:t>
      </w:r>
      <w:r>
        <w:rPr>
          <w:rFonts w:hint="eastAsia" w:eastAsia="方正仿宋_GBK"/>
          <w:kern w:val="0"/>
          <w:sz w:val="30"/>
          <w:szCs w:val="30"/>
          <w:lang w:eastAsia="zh-CN"/>
        </w:rPr>
        <w:t>效果一般或不太有效</w:t>
      </w:r>
      <w:r>
        <w:rPr>
          <w:rFonts w:hint="eastAsia" w:eastAsia="方正仿宋_GBK"/>
          <w:kern w:val="0"/>
          <w:sz w:val="30"/>
          <w:szCs w:val="30"/>
        </w:rPr>
        <w:t>。这也</w:t>
      </w:r>
      <w:r>
        <w:rPr>
          <w:rFonts w:hint="eastAsia" w:eastAsia="方正仿宋_GBK"/>
          <w:kern w:val="0"/>
          <w:sz w:val="30"/>
          <w:szCs w:val="30"/>
          <w:lang w:eastAsia="zh-CN"/>
        </w:rPr>
        <w:t>在一定程度上</w:t>
      </w:r>
      <w:r>
        <w:rPr>
          <w:rFonts w:hint="eastAsia" w:eastAsia="方正仿宋_GBK"/>
          <w:kern w:val="0"/>
          <w:sz w:val="30"/>
          <w:szCs w:val="30"/>
        </w:rPr>
        <w:t>影响了青少年模式的用户规模和作用发挥。</w:t>
      </w:r>
    </w:p>
    <w:p>
      <w:pPr>
        <w:keepNext/>
        <w:jc w:val="center"/>
      </w:pPr>
      <w:r>
        <w:rPr>
          <w:rFonts w:hint="eastAsia"/>
        </w:rPr>
        <w:drawing>
          <wp:inline distT="0" distB="0" distL="0" distR="0">
            <wp:extent cx="4600575" cy="2381250"/>
            <wp:effectExtent l="0" t="0" r="0" b="0"/>
            <wp:docPr id="7" name="图表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inline>
        </w:drawing>
      </w:r>
    </w:p>
    <w:p>
      <w:pPr>
        <w:pStyle w:val="10"/>
        <w:jc w:val="center"/>
        <w:rPr>
          <w:rFonts w:ascii="Times New Roman" w:hAnsi="Times New Roman" w:eastAsia="方正楷体_GBK" w:cs="Times New Roman"/>
          <w:sz w:val="24"/>
          <w:szCs w:val="24"/>
        </w:rPr>
      </w:pPr>
      <w:bookmarkStart w:id="151" w:name="_Toc113023925"/>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4</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3</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青少年模式在未成年网民中的满意程度</w:t>
      </w:r>
      <w:bookmarkEnd w:id="151"/>
    </w:p>
    <w:p>
      <w:pPr>
        <w:pStyle w:val="10"/>
        <w:keepNext/>
        <w:jc w:val="center"/>
        <w:rPr>
          <w:rFonts w:ascii="Times New Roman" w:hAnsi="Times New Roman"/>
        </w:rPr>
      </w:pPr>
      <w:r>
        <w:rPr>
          <w:rFonts w:hint="eastAsia" w:ascii="Times New Roman" w:hAnsi="Times New Roman"/>
        </w:rPr>
        <w:drawing>
          <wp:inline distT="0" distB="0" distL="0" distR="0">
            <wp:extent cx="4600575" cy="2381250"/>
            <wp:effectExtent l="0" t="0" r="0" b="0"/>
            <wp:docPr id="38" name="图表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65"/>
              </a:graphicData>
            </a:graphic>
          </wp:inline>
        </w:drawing>
      </w:r>
    </w:p>
    <w:p>
      <w:pPr>
        <w:pStyle w:val="10"/>
        <w:jc w:val="center"/>
        <w:rPr>
          <w:rFonts w:ascii="Times New Roman" w:hAnsi="Times New Roman" w:eastAsia="方正楷体_GBK" w:cs="Times New Roman"/>
          <w:sz w:val="24"/>
          <w:szCs w:val="24"/>
        </w:rPr>
      </w:pPr>
      <w:bookmarkStart w:id="152" w:name="_Toc113023944"/>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4</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4</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家长对青少年模式的主观感受</w:t>
      </w:r>
      <w:bookmarkEnd w:id="152"/>
    </w:p>
    <w:p>
      <w:pPr>
        <w:keepNext/>
        <w:ind w:firstLine="420" w:firstLineChars="200"/>
        <w:jc w:val="center"/>
      </w:pPr>
      <w:r>
        <w:rPr>
          <w:rFonts w:hint="eastAsia"/>
        </w:rPr>
        <w:drawing>
          <wp:inline distT="0" distB="0" distL="0" distR="0">
            <wp:extent cx="4600575" cy="2381250"/>
            <wp:effectExtent l="0" t="0" r="0" b="0"/>
            <wp:docPr id="21" name="图表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66"/>
              </a:graphicData>
            </a:graphic>
          </wp:inline>
        </w:drawing>
      </w:r>
    </w:p>
    <w:p>
      <w:pPr>
        <w:pStyle w:val="10"/>
        <w:jc w:val="center"/>
        <w:rPr>
          <w:rFonts w:ascii="Times New Roman" w:hAnsi="Times New Roman" w:eastAsia="方正楷体_GBK" w:cs="Times New Roman"/>
          <w:sz w:val="24"/>
          <w:szCs w:val="24"/>
        </w:rPr>
      </w:pPr>
      <w:bookmarkStart w:id="153" w:name="_Toc113023951"/>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4</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5</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教师对青少年模式的主观感受</w:t>
      </w:r>
      <w:bookmarkEnd w:id="153"/>
    </w:p>
    <w:p>
      <w:pPr>
        <w:pStyle w:val="50"/>
        <w:spacing w:line="560" w:lineRule="exact"/>
        <w:ind w:firstLine="600"/>
        <w:outlineLvl w:val="1"/>
        <w:rPr>
          <w:rFonts w:eastAsia="方正黑体_GBK" w:cs="方正黑体_GBK"/>
          <w:bCs/>
          <w:sz w:val="30"/>
          <w:szCs w:val="30"/>
        </w:rPr>
      </w:pPr>
      <w:bookmarkStart w:id="154" w:name="_Toc1777120114"/>
      <w:r>
        <w:rPr>
          <w:rFonts w:hint="eastAsia" w:eastAsia="方正黑体_GBK" w:cs="方正黑体_GBK"/>
          <w:bCs/>
          <w:sz w:val="30"/>
          <w:szCs w:val="30"/>
        </w:rPr>
        <w:t>四、家长自身的网络素养情况</w:t>
      </w:r>
      <w:bookmarkEnd w:id="154"/>
    </w:p>
    <w:p>
      <w:pPr>
        <w:autoSpaceDE w:val="0"/>
        <w:autoSpaceDN w:val="0"/>
        <w:adjustRightInd w:val="0"/>
        <w:spacing w:line="560" w:lineRule="exact"/>
        <w:ind w:firstLine="600" w:firstLineChars="200"/>
        <w:rPr>
          <w:rFonts w:eastAsia="方正仿宋_GBK"/>
          <w:kern w:val="0"/>
          <w:sz w:val="30"/>
          <w:szCs w:val="30"/>
        </w:rPr>
      </w:pPr>
      <w:bookmarkStart w:id="155" w:name="_Toc113544231"/>
      <w:r>
        <w:rPr>
          <w:rFonts w:hint="eastAsia" w:eastAsia="方正仿宋_GBK"/>
          <w:kern w:val="0"/>
          <w:sz w:val="30"/>
          <w:szCs w:val="30"/>
        </w:rPr>
        <w:t xml:space="preserve">1. </w:t>
      </w:r>
      <w:r>
        <w:rPr>
          <w:rFonts w:hint="eastAsia" w:eastAsia="方正楷体_GBK" w:cs="方正楷体_GBK"/>
          <w:kern w:val="0"/>
          <w:sz w:val="30"/>
          <w:szCs w:val="30"/>
        </w:rPr>
        <w:t>家长自身的互联网使用技能</w:t>
      </w:r>
      <w:bookmarkEnd w:id="155"/>
      <w:r>
        <w:rPr>
          <w:rFonts w:hint="eastAsia" w:eastAsia="方正仿宋_GBK"/>
          <w:kern w:val="0"/>
          <w:sz w:val="30"/>
          <w:szCs w:val="30"/>
        </w:rPr>
        <w:t>。数据显示，65.8%的家长表示自己可以熟练使用互联网；26.8%的家长表示对互联网懂得不多，主要是玩游戏或看短视频；此外还有7.4%的家长表示自己不会上网。</w:t>
      </w:r>
    </w:p>
    <w:p>
      <w:pPr>
        <w:keepNext/>
        <w:jc w:val="center"/>
      </w:pPr>
      <w:r>
        <w:rPr>
          <w:rFonts w:hint="eastAsia"/>
        </w:rPr>
        <w:drawing>
          <wp:inline distT="0" distB="0" distL="0" distR="0">
            <wp:extent cx="4096385" cy="2120900"/>
            <wp:effectExtent l="0" t="0" r="0" b="0"/>
            <wp:docPr id="25" name="图表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67"/>
              </a:graphicData>
            </a:graphic>
          </wp:inline>
        </w:drawing>
      </w:r>
    </w:p>
    <w:p>
      <w:pPr>
        <w:pStyle w:val="10"/>
        <w:jc w:val="center"/>
        <w:rPr>
          <w:rFonts w:ascii="Times New Roman" w:hAnsi="Times New Roman" w:eastAsia="方正楷体_GBK" w:cs="Times New Roman"/>
          <w:sz w:val="24"/>
          <w:szCs w:val="24"/>
        </w:rPr>
      </w:pPr>
      <w:bookmarkStart w:id="156" w:name="_Toc113023947"/>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4</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6</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家长自身对互联网的使用能力</w:t>
      </w:r>
      <w:bookmarkEnd w:id="156"/>
    </w:p>
    <w:p>
      <w:pPr>
        <w:autoSpaceDE w:val="0"/>
        <w:autoSpaceDN w:val="0"/>
        <w:adjustRightInd w:val="0"/>
        <w:spacing w:line="560" w:lineRule="exact"/>
        <w:ind w:firstLine="600" w:firstLineChars="200"/>
        <w:rPr>
          <w:rFonts w:eastAsia="方正仿宋_GBK"/>
          <w:kern w:val="0"/>
          <w:sz w:val="30"/>
          <w:szCs w:val="30"/>
        </w:rPr>
      </w:pPr>
      <w:bookmarkStart w:id="157" w:name="_Toc113544232"/>
      <w:r>
        <w:rPr>
          <w:rFonts w:hint="eastAsia" w:eastAsia="方正仿宋_GBK"/>
          <w:kern w:val="0"/>
          <w:sz w:val="30"/>
          <w:szCs w:val="30"/>
        </w:rPr>
        <w:t xml:space="preserve">2. </w:t>
      </w:r>
      <w:r>
        <w:rPr>
          <w:rFonts w:hint="eastAsia" w:eastAsia="方正楷体_GBK" w:cs="方正楷体_GBK"/>
          <w:kern w:val="0"/>
          <w:sz w:val="30"/>
          <w:szCs w:val="30"/>
        </w:rPr>
        <w:t>家长自身的互联网依赖心理</w:t>
      </w:r>
      <w:bookmarkEnd w:id="157"/>
      <w:r>
        <w:rPr>
          <w:rFonts w:hint="eastAsia" w:eastAsia="方正仿宋_GBK"/>
          <w:kern w:val="0"/>
          <w:sz w:val="30"/>
          <w:szCs w:val="30"/>
        </w:rPr>
        <w:t>。数据显示，25.3%的家长认为自己对互联网存在依赖心理，如果闲下来不上网会感到不舒服。这有可能影响其对子女上网行为的管理。</w:t>
      </w:r>
    </w:p>
    <w:p>
      <w:pPr>
        <w:keepNext/>
        <w:jc w:val="center"/>
      </w:pPr>
      <w:r>
        <w:rPr>
          <w:rFonts w:hint="eastAsia"/>
        </w:rPr>
        <w:drawing>
          <wp:inline distT="0" distB="0" distL="0" distR="0">
            <wp:extent cx="4600575" cy="2381250"/>
            <wp:effectExtent l="0" t="0" r="0" b="0"/>
            <wp:docPr id="27" name="图表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68"/>
              </a:graphicData>
            </a:graphic>
          </wp:inline>
        </w:drawing>
      </w:r>
    </w:p>
    <w:p>
      <w:pPr>
        <w:pStyle w:val="10"/>
        <w:jc w:val="center"/>
        <w:rPr>
          <w:rFonts w:ascii="Times New Roman" w:hAnsi="Times New Roman" w:eastAsia="方正楷体_GBK" w:cs="Times New Roman"/>
          <w:sz w:val="24"/>
          <w:szCs w:val="24"/>
        </w:rPr>
      </w:pPr>
      <w:bookmarkStart w:id="158" w:name="_Toc113023948"/>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4</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7</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家长自身对互联网的依赖心理</w:t>
      </w:r>
      <w:bookmarkEnd w:id="158"/>
    </w:p>
    <w:p>
      <w:pPr>
        <w:numPr>
          <w:ilvl w:val="0"/>
          <w:numId w:val="2"/>
        </w:numPr>
        <w:autoSpaceDE w:val="0"/>
        <w:autoSpaceDN w:val="0"/>
        <w:adjustRightInd w:val="0"/>
        <w:spacing w:line="560" w:lineRule="exact"/>
        <w:ind w:firstLine="600" w:firstLineChars="200"/>
        <w:rPr>
          <w:rFonts w:eastAsia="方正仿宋_GBK"/>
          <w:kern w:val="0"/>
          <w:sz w:val="30"/>
          <w:szCs w:val="30"/>
        </w:rPr>
      </w:pPr>
      <w:bookmarkStart w:id="159" w:name="_Toc113544233"/>
      <w:r>
        <w:rPr>
          <w:rFonts w:hint="eastAsia" w:eastAsia="方正楷体_GBK" w:cs="方正楷体_GBK"/>
          <w:kern w:val="0"/>
          <w:sz w:val="30"/>
          <w:szCs w:val="30"/>
        </w:rPr>
        <w:t>家长自身的信息安全防范意识</w:t>
      </w:r>
      <w:bookmarkEnd w:id="159"/>
      <w:r>
        <w:rPr>
          <w:rFonts w:hint="eastAsia" w:eastAsia="方正仿宋_GBK"/>
          <w:kern w:val="0"/>
          <w:sz w:val="30"/>
          <w:szCs w:val="30"/>
        </w:rPr>
        <w:t>。随着社交网络的广泛使用，越来越多的家长开始在微博、朋友圈等应用上发布子女的照片或视频。但</w:t>
      </w:r>
      <w:r>
        <w:rPr>
          <w:rFonts w:eastAsia="方正仿宋_GBK"/>
          <w:kern w:val="0"/>
          <w:sz w:val="30"/>
          <w:szCs w:val="30"/>
        </w:rPr>
        <w:t>28.1</w:t>
      </w:r>
      <w:r>
        <w:rPr>
          <w:rFonts w:hint="eastAsia" w:eastAsia="方正仿宋_GBK"/>
          <w:kern w:val="0"/>
          <w:sz w:val="30"/>
          <w:szCs w:val="30"/>
        </w:rPr>
        <w:t>%的家长表示自己没想到过在社交网络发布子女照片或视频可能存在隐私信息安全风险。</w:t>
      </w:r>
    </w:p>
    <w:p>
      <w:pPr>
        <w:keepNext/>
        <w:jc w:val="center"/>
      </w:pPr>
      <w:r>
        <w:rPr>
          <w:rFonts w:hint="eastAsia"/>
        </w:rPr>
        <w:drawing>
          <wp:inline distT="0" distB="0" distL="0" distR="0">
            <wp:extent cx="4600575" cy="2381250"/>
            <wp:effectExtent l="0" t="0" r="0" b="0"/>
            <wp:docPr id="40" name="图表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69"/>
              </a:graphicData>
            </a:graphic>
          </wp:inline>
        </w:drawing>
      </w:r>
    </w:p>
    <w:p>
      <w:pPr>
        <w:pStyle w:val="10"/>
        <w:jc w:val="center"/>
        <w:rPr>
          <w:rFonts w:hint="eastAsia" w:ascii="Times New Roman" w:hAnsi="Times New Roman" w:eastAsia="方正楷体_GBK" w:cs="Times New Roman"/>
          <w:sz w:val="24"/>
          <w:szCs w:val="24"/>
          <w:lang w:eastAsia="zh-CN"/>
        </w:rPr>
      </w:pPr>
      <w:bookmarkStart w:id="160" w:name="_Toc113023945"/>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4</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8</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家长使用社交网络时</w:t>
      </w:r>
      <w:r>
        <w:rPr>
          <w:rFonts w:hint="eastAsia" w:ascii="Times New Roman" w:hAnsi="Times New Roman" w:eastAsia="方正楷体_GBK" w:cs="Times New Roman"/>
          <w:sz w:val="24"/>
          <w:szCs w:val="24"/>
          <w:lang w:eastAsia="zh-CN"/>
        </w:rPr>
        <w:t>是否有</w:t>
      </w:r>
      <w:r>
        <w:rPr>
          <w:rFonts w:hint="eastAsia" w:ascii="Times New Roman" w:hAnsi="Times New Roman" w:eastAsia="方正楷体_GBK" w:cs="Times New Roman"/>
          <w:sz w:val="24"/>
          <w:szCs w:val="24"/>
        </w:rPr>
        <w:t>信息安全防范意识</w:t>
      </w:r>
      <w:bookmarkEnd w:id="160"/>
      <w:r>
        <w:rPr>
          <w:rFonts w:hint="eastAsia" w:ascii="Times New Roman" w:hAnsi="Times New Roman" w:eastAsia="方正楷体_GBK" w:cs="Times New Roman"/>
          <w:sz w:val="24"/>
          <w:szCs w:val="24"/>
          <w:lang w:eastAsia="zh-CN"/>
        </w:rPr>
        <w:t>的比例</w:t>
      </w:r>
    </w:p>
    <w:p>
      <w:pPr>
        <w:pStyle w:val="50"/>
        <w:spacing w:line="560" w:lineRule="exact"/>
        <w:ind w:firstLine="600"/>
        <w:rPr>
          <w:rFonts w:eastAsia="方正黑体_GBK" w:cs="方正黑体_GBK"/>
          <w:bCs/>
          <w:sz w:val="30"/>
          <w:szCs w:val="30"/>
        </w:rPr>
      </w:pPr>
      <w:bookmarkStart w:id="161" w:name="_Toc113544234"/>
    </w:p>
    <w:p>
      <w:pPr>
        <w:pStyle w:val="50"/>
        <w:spacing w:line="560" w:lineRule="exact"/>
        <w:ind w:firstLine="600"/>
        <w:rPr>
          <w:rFonts w:eastAsia="方正黑体_GBK" w:cs="方正黑体_GBK"/>
          <w:bCs/>
          <w:sz w:val="30"/>
          <w:szCs w:val="30"/>
        </w:rPr>
      </w:pPr>
    </w:p>
    <w:p>
      <w:pPr>
        <w:pStyle w:val="50"/>
        <w:spacing w:line="560" w:lineRule="exact"/>
        <w:ind w:firstLine="600"/>
        <w:rPr>
          <w:rFonts w:eastAsia="方正黑体_GBK" w:cs="方正黑体_GBK"/>
          <w:bCs/>
          <w:sz w:val="30"/>
          <w:szCs w:val="30"/>
        </w:rPr>
      </w:pPr>
      <w:r>
        <w:rPr>
          <w:rFonts w:hint="eastAsia" w:eastAsia="方正黑体_GBK" w:cs="方正黑体_GBK"/>
          <w:bCs/>
          <w:sz w:val="30"/>
          <w:szCs w:val="30"/>
        </w:rPr>
        <w:t>【本章小结</w:t>
      </w:r>
      <w:bookmarkEnd w:id="161"/>
      <w:r>
        <w:rPr>
          <w:rFonts w:hint="eastAsia" w:eastAsia="方正黑体_GBK" w:cs="方正黑体_GBK"/>
          <w:bCs/>
          <w:sz w:val="30"/>
          <w:szCs w:val="30"/>
        </w:rPr>
        <w:t>】</w:t>
      </w: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未成年人上网的教育和管理情况呈现以下四个主要特点：一是家长和学校越来越注重对未成年人的网络安全教育，超九成家长和教师对未成年人开展相关教育。二是大部分家长会对未成年子女上网进行监督管理，超过一半的家长要求子女在自己的监督下上网，近八成会和子女约定网上娱乐行为。三是青少年模式在帮助未成年人减少网络依赖和网络不良信息</w:t>
      </w:r>
      <w:r>
        <w:rPr>
          <w:rFonts w:hint="eastAsia" w:eastAsia="方正仿宋_GBK"/>
          <w:kern w:val="0"/>
          <w:sz w:val="30"/>
          <w:szCs w:val="30"/>
          <w:lang w:val="en-US" w:eastAsia="zh-CN"/>
        </w:rPr>
        <w:t>影响</w:t>
      </w:r>
      <w:r>
        <w:rPr>
          <w:rFonts w:hint="eastAsia" w:eastAsia="方正仿宋_GBK"/>
          <w:kern w:val="0"/>
          <w:sz w:val="30"/>
          <w:szCs w:val="30"/>
        </w:rPr>
        <w:t>方面发挥了较为积极的作用，但用户的使用比例和满意比例均不足五成，仍需进一步完善。四是家长自身的网络素养影响其对子女的上网教育和管理，超过三成家长表示不会上网或仅能上网从事简单的网络娱乐活动，超过四分之一的家长认为自己对互联网存在依赖心理。</w:t>
      </w:r>
    </w:p>
    <w:p>
      <w:r>
        <w:br w:type="page"/>
      </w:r>
    </w:p>
    <w:p>
      <w:pPr>
        <w:spacing w:line="560" w:lineRule="exact"/>
        <w:jc w:val="center"/>
        <w:outlineLvl w:val="0"/>
        <w:rPr>
          <w:rFonts w:eastAsia="方正小标宋简体" w:cs="方正小标宋简体"/>
          <w:sz w:val="40"/>
          <w:szCs w:val="40"/>
        </w:rPr>
      </w:pPr>
      <w:bookmarkStart w:id="162" w:name="_Toc894443835"/>
      <w:r>
        <w:rPr>
          <w:rFonts w:hint="eastAsia" w:eastAsia="方正小标宋简体" w:cs="方正小标宋简体"/>
          <w:sz w:val="40"/>
          <w:szCs w:val="40"/>
        </w:rPr>
        <w:t>第五章  未成年人网络安全与权益保护</w:t>
      </w:r>
      <w:bookmarkEnd w:id="162"/>
    </w:p>
    <w:p>
      <w:pPr>
        <w:ind w:firstLine="420" w:firstLineChars="200"/>
      </w:pPr>
    </w:p>
    <w:p>
      <w:pPr>
        <w:pStyle w:val="50"/>
        <w:spacing w:line="560" w:lineRule="exact"/>
        <w:ind w:firstLine="600"/>
        <w:outlineLvl w:val="1"/>
        <w:rPr>
          <w:rFonts w:eastAsia="方正黑体_GBK" w:cs="方正黑体_GBK"/>
          <w:bCs/>
          <w:sz w:val="30"/>
          <w:szCs w:val="30"/>
        </w:rPr>
      </w:pPr>
      <w:bookmarkStart w:id="163" w:name="_Toc1362774443"/>
      <w:r>
        <w:rPr>
          <w:rFonts w:hint="eastAsia" w:eastAsia="方正黑体_GBK" w:cs="方正黑体_GBK"/>
          <w:bCs/>
          <w:sz w:val="30"/>
          <w:szCs w:val="30"/>
        </w:rPr>
        <w:t>一、未成年人遭遇网络安全事件的情况</w:t>
      </w:r>
      <w:bookmarkEnd w:id="163"/>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近年来，我国未成年人遭遇网络安全事件的比例保持下降态势。数据显示，未成年网民表示“自己曾在过去半年内遭遇过网络安全事件”的比例为25.5%，较2020年（27.2%）下降1.7个百分点。其中，遭遇账号密码被盗、上网设备中病毒的未成年网民比例略有下降，但遭遇网上诈骗、个人信息泄露的比例略有升高。</w:t>
      </w:r>
    </w:p>
    <w:p>
      <w:pPr>
        <w:keepNext/>
        <w:jc w:val="center"/>
      </w:pPr>
      <w:r>
        <w:rPr>
          <w:rFonts w:hint="eastAsia"/>
        </w:rPr>
        <w:drawing>
          <wp:inline distT="0" distB="0" distL="0" distR="0">
            <wp:extent cx="5274310" cy="3072130"/>
            <wp:effectExtent l="0" t="0" r="0" b="0"/>
            <wp:docPr id="10"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0"/>
              </a:graphicData>
            </a:graphic>
          </wp:inline>
        </w:drawing>
      </w:r>
    </w:p>
    <w:p>
      <w:pPr>
        <w:pStyle w:val="10"/>
        <w:jc w:val="center"/>
        <w:rPr>
          <w:rFonts w:hint="eastAsia" w:ascii="Times New Roman" w:hAnsi="Times New Roman" w:eastAsia="方正楷体_GBK" w:cs="Times New Roman"/>
          <w:sz w:val="24"/>
          <w:szCs w:val="24"/>
          <w:lang w:eastAsia="zh-CN"/>
        </w:rPr>
      </w:pPr>
      <w:bookmarkStart w:id="164" w:name="_Toc113023929"/>
      <w:r>
        <w:rPr>
          <w:rFonts w:hint="eastAsia" w:ascii="Times New Roman" w:hAnsi="Times New Roman" w:eastAsia="方正楷体_GBK" w:cs="Times New Roman"/>
          <w:sz w:val="24"/>
          <w:szCs w:val="24"/>
        </w:rPr>
        <w:t xml:space="preserve">图 </w:t>
      </w:r>
      <w:r>
        <w:rPr>
          <w:rFonts w:hint="eastAsia" w:ascii="Times New Roman" w:hAnsi="Times New Roman" w:eastAsia="方正楷体_GBK" w:cs="Times New Roman"/>
          <w:sz w:val="24"/>
          <w:szCs w:val="24"/>
          <w:lang w:val="en-US" w:eastAsia="zh-CN"/>
        </w:rPr>
        <w:t>49</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未成年网民遭遇网络安全事件的情况</w:t>
      </w:r>
      <w:bookmarkEnd w:id="164"/>
      <w:r>
        <w:rPr>
          <w:rFonts w:hint="eastAsia" w:ascii="Times New Roman" w:hAnsi="Times New Roman" w:eastAsia="方正楷体_GBK" w:cs="Times New Roman"/>
          <w:sz w:val="24"/>
          <w:szCs w:val="24"/>
          <w:lang w:eastAsia="zh-CN"/>
        </w:rPr>
        <w:t>（多选）</w:t>
      </w:r>
    </w:p>
    <w:p>
      <w:pPr>
        <w:pStyle w:val="50"/>
        <w:spacing w:line="560" w:lineRule="exact"/>
        <w:ind w:firstLine="600"/>
        <w:outlineLvl w:val="1"/>
        <w:rPr>
          <w:rFonts w:eastAsia="方正黑体_GBK" w:cs="方正黑体_GBK"/>
          <w:bCs/>
          <w:sz w:val="30"/>
          <w:szCs w:val="30"/>
        </w:rPr>
      </w:pPr>
      <w:bookmarkStart w:id="165" w:name="_Toc1978119351"/>
      <w:r>
        <w:rPr>
          <w:rFonts w:hint="eastAsia" w:eastAsia="方正黑体_GBK" w:cs="方正黑体_GBK"/>
          <w:bCs/>
          <w:sz w:val="30"/>
          <w:szCs w:val="30"/>
        </w:rPr>
        <w:t>二、未成年人遭遇网络不良或消极负面信息的情况</w:t>
      </w:r>
      <w:bookmarkEnd w:id="165"/>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数据显示，38.3%的未成年网民在上网过程中遭遇过不良或消极负面信息。其中，炫耀个人财富或家庭背景的内容最为常见，为21.2%；其次为宣扬不劳而获、躺平等思想的内容，为16.3%；血腥暴力内容的比例也达到15.8%。</w:t>
      </w:r>
    </w:p>
    <w:p>
      <w:pPr>
        <w:keepNext/>
        <w:jc w:val="center"/>
      </w:pPr>
      <w:r>
        <w:rPr>
          <w:rFonts w:hint="eastAsia"/>
        </w:rPr>
        <w:drawing>
          <wp:inline distT="0" distB="0" distL="0" distR="0">
            <wp:extent cx="5115560" cy="4633595"/>
            <wp:effectExtent l="0" t="0" r="0" b="0"/>
            <wp:docPr id="1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1"/>
              </a:graphicData>
            </a:graphic>
          </wp:inline>
        </w:drawing>
      </w:r>
    </w:p>
    <w:p>
      <w:pPr>
        <w:pStyle w:val="10"/>
        <w:jc w:val="center"/>
        <w:rPr>
          <w:rFonts w:hint="eastAsia" w:ascii="Times New Roman" w:hAnsi="Times New Roman" w:eastAsia="方正楷体_GBK" w:cs="Times New Roman"/>
          <w:sz w:val="24"/>
          <w:szCs w:val="24"/>
          <w:lang w:eastAsia="zh-CN"/>
        </w:rPr>
      </w:pPr>
      <w:bookmarkStart w:id="166" w:name="_Toc113023930"/>
      <w:r>
        <w:rPr>
          <w:rFonts w:hint="eastAsia" w:ascii="Times New Roman" w:hAnsi="Times New Roman" w:eastAsia="方正楷体_GBK" w:cs="Times New Roman"/>
          <w:sz w:val="24"/>
          <w:szCs w:val="24"/>
        </w:rPr>
        <w:t xml:space="preserve">图 </w:t>
      </w:r>
      <w:r>
        <w:rPr>
          <w:rFonts w:hint="eastAsia" w:ascii="Times New Roman" w:hAnsi="Times New Roman" w:eastAsia="方正楷体_GBK" w:cs="Times New Roman"/>
          <w:sz w:val="24"/>
          <w:szCs w:val="24"/>
          <w:lang w:val="en-US" w:eastAsia="zh-CN"/>
        </w:rPr>
        <w:t>50</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未成年网民遭遇网络不良或消极负面信息的情况</w:t>
      </w:r>
      <w:bookmarkEnd w:id="166"/>
      <w:r>
        <w:rPr>
          <w:rFonts w:hint="eastAsia" w:ascii="Times New Roman" w:hAnsi="Times New Roman" w:eastAsia="方正楷体_GBK" w:cs="Times New Roman"/>
          <w:sz w:val="24"/>
          <w:szCs w:val="24"/>
          <w:lang w:eastAsia="zh-CN"/>
        </w:rPr>
        <w:t>（多选）</w:t>
      </w:r>
    </w:p>
    <w:p>
      <w:pPr>
        <w:pStyle w:val="50"/>
        <w:spacing w:line="560" w:lineRule="exact"/>
        <w:ind w:firstLine="600"/>
        <w:outlineLvl w:val="1"/>
        <w:rPr>
          <w:rFonts w:eastAsia="方正黑体_GBK" w:cs="方正黑体_GBK"/>
          <w:bCs/>
          <w:sz w:val="30"/>
          <w:szCs w:val="30"/>
        </w:rPr>
      </w:pPr>
      <w:bookmarkStart w:id="167" w:name="_Toc1434725786"/>
      <w:r>
        <w:rPr>
          <w:rFonts w:hint="eastAsia" w:eastAsia="方正黑体_GBK" w:cs="方正黑体_GBK"/>
          <w:bCs/>
          <w:sz w:val="30"/>
          <w:szCs w:val="30"/>
        </w:rPr>
        <w:t>三、未成年人遭遇网络暴力的情况</w:t>
      </w:r>
      <w:bookmarkEnd w:id="167"/>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数据显示，未成年网民在网上遭到讽刺或谩骂的比例为16.6%；自己或亲友在网上遭到恶意骚扰的比例为7.0%；个人信息未经允许在网上被公开的比例为6.1%。</w:t>
      </w:r>
    </w:p>
    <w:p>
      <w:pPr>
        <w:keepNext/>
        <w:jc w:val="center"/>
      </w:pPr>
      <w:r>
        <w:drawing>
          <wp:inline distT="0" distB="0" distL="0" distR="0">
            <wp:extent cx="5077460" cy="2819400"/>
            <wp:effectExtent l="0" t="0" r="0" b="0"/>
            <wp:docPr id="75"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2"/>
              </a:graphicData>
            </a:graphic>
          </wp:inline>
        </w:drawing>
      </w:r>
    </w:p>
    <w:p>
      <w:pPr>
        <w:pStyle w:val="10"/>
        <w:jc w:val="center"/>
        <w:rPr>
          <w:rFonts w:ascii="Times New Roman" w:hAnsi="Times New Roman" w:eastAsia="方正楷体_GBK" w:cs="Times New Roman"/>
          <w:sz w:val="24"/>
          <w:szCs w:val="24"/>
        </w:rPr>
      </w:pPr>
      <w:bookmarkStart w:id="168" w:name="_Toc113023931"/>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5</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1</w:t>
      </w:r>
      <w:r>
        <w:rPr>
          <w:rFonts w:hint="eastAsia" w:ascii="Times New Roman" w:hAnsi="Times New Roman" w:eastAsia="方正楷体_GBK" w:cs="Times New Roman"/>
          <w:sz w:val="24"/>
          <w:szCs w:val="24"/>
        </w:rPr>
        <w:t xml:space="preserve"> 未成年网民遭遇网络暴力的情况</w:t>
      </w:r>
      <w:bookmarkEnd w:id="168"/>
      <w:r>
        <w:rPr>
          <w:rFonts w:hint="eastAsia" w:ascii="Times New Roman" w:hAnsi="Times New Roman" w:eastAsia="方正楷体_GBK" w:cs="Times New Roman"/>
          <w:sz w:val="24"/>
          <w:szCs w:val="24"/>
          <w:lang w:eastAsia="zh-CN"/>
        </w:rPr>
        <w:t>（多选）</w:t>
      </w: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如果遭遇网络暴力，超过九成的未成年网民会向外界寻求帮助。其中，55.8%的未成年网民会向父母等亲人寻求帮助；</w:t>
      </w:r>
      <w:r>
        <w:rPr>
          <w:rFonts w:hint="eastAsia" w:eastAsia="方正仿宋_GBK"/>
          <w:kern w:val="0"/>
          <w:sz w:val="30"/>
          <w:szCs w:val="30"/>
          <w:lang w:eastAsia="zh-CN"/>
        </w:rPr>
        <w:t>仍</w:t>
      </w:r>
      <w:r>
        <w:rPr>
          <w:rFonts w:hint="eastAsia" w:eastAsia="方正仿宋_GBK"/>
          <w:kern w:val="0"/>
          <w:sz w:val="30"/>
          <w:szCs w:val="30"/>
        </w:rPr>
        <w:t>有8.5%的未成年网民表示不会告诉其他人。</w:t>
      </w:r>
    </w:p>
    <w:p>
      <w:pPr>
        <w:keepNext/>
        <w:jc w:val="center"/>
      </w:pPr>
      <w:r>
        <w:drawing>
          <wp:inline distT="0" distB="0" distL="0" distR="0">
            <wp:extent cx="5077460" cy="2988310"/>
            <wp:effectExtent l="0" t="0" r="0" b="0"/>
            <wp:docPr id="11"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3"/>
              </a:graphicData>
            </a:graphic>
          </wp:inline>
        </w:drawing>
      </w:r>
    </w:p>
    <w:p>
      <w:pPr>
        <w:pStyle w:val="10"/>
        <w:jc w:val="center"/>
        <w:rPr>
          <w:rFonts w:ascii="Times New Roman" w:hAnsi="Times New Roman" w:eastAsia="方正楷体_GBK" w:cs="Times New Roman"/>
          <w:sz w:val="24"/>
          <w:szCs w:val="24"/>
        </w:rPr>
      </w:pPr>
      <w:bookmarkStart w:id="169" w:name="_Toc113023932"/>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5</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2</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未成年网民对网络暴力的处理措施</w:t>
      </w:r>
      <w:bookmarkEnd w:id="169"/>
      <w:r>
        <w:rPr>
          <w:rFonts w:hint="eastAsia" w:ascii="Times New Roman" w:hAnsi="Times New Roman" w:eastAsia="方正楷体_GBK" w:cs="Times New Roman"/>
          <w:sz w:val="24"/>
          <w:szCs w:val="24"/>
          <w:lang w:eastAsia="zh-CN"/>
        </w:rPr>
        <w:t>（多选）</w:t>
      </w:r>
    </w:p>
    <w:p>
      <w:pPr>
        <w:pStyle w:val="50"/>
        <w:spacing w:line="560" w:lineRule="exact"/>
        <w:ind w:firstLine="600"/>
        <w:outlineLvl w:val="1"/>
        <w:rPr>
          <w:rFonts w:eastAsia="方正黑体_GBK" w:cs="方正黑体_GBK"/>
          <w:bCs/>
          <w:sz w:val="30"/>
          <w:szCs w:val="30"/>
        </w:rPr>
      </w:pPr>
      <w:bookmarkStart w:id="170" w:name="_Toc1464301425"/>
      <w:r>
        <w:rPr>
          <w:rFonts w:hint="eastAsia" w:eastAsia="方正黑体_GBK" w:cs="方正黑体_GBK"/>
          <w:bCs/>
          <w:sz w:val="30"/>
          <w:szCs w:val="30"/>
        </w:rPr>
        <w:t>四、未成年人网络权益维护的认知情况</w:t>
      </w:r>
      <w:bookmarkEnd w:id="170"/>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数据显示，79.8%的未成年网民知道可以通过互联网对侵害自身的不法行为进行权益维护或举报，较2020年（74.1%）提升5.7个百分点。</w:t>
      </w:r>
    </w:p>
    <w:p>
      <w:pPr>
        <w:keepNext/>
        <w:jc w:val="center"/>
      </w:pPr>
      <w:r>
        <w:rPr>
          <w:rFonts w:hint="eastAsia"/>
        </w:rPr>
        <w:drawing>
          <wp:inline distT="0" distB="0" distL="0" distR="0">
            <wp:extent cx="4029075" cy="2562225"/>
            <wp:effectExtent l="0" t="0" r="0" b="0"/>
            <wp:docPr id="61"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4"/>
              </a:graphicData>
            </a:graphic>
          </wp:inline>
        </w:drawing>
      </w:r>
    </w:p>
    <w:p>
      <w:pPr>
        <w:pStyle w:val="10"/>
        <w:jc w:val="center"/>
        <w:rPr>
          <w:rFonts w:ascii="Times New Roman" w:hAnsi="Times New Roman" w:eastAsia="方正楷体_GBK" w:cs="Times New Roman"/>
          <w:sz w:val="24"/>
          <w:szCs w:val="24"/>
        </w:rPr>
      </w:pPr>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5</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3</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未成年网民网络权益维护认知情况</w:t>
      </w: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小学生对于网络权益维护的认知比例为72.5%，较2020年（65.1%）提升7.4个百分点；初中生、高中生对于网络权益维护的认知比例也分别较2020年提升了5.7和4.4个百分点。</w:t>
      </w:r>
    </w:p>
    <w:p>
      <w:pPr>
        <w:keepNext/>
        <w:jc w:val="center"/>
      </w:pPr>
      <w:r>
        <w:rPr>
          <w:rFonts w:hint="eastAsia"/>
        </w:rPr>
        <w:drawing>
          <wp:inline distT="0" distB="0" distL="0" distR="0">
            <wp:extent cx="4981575" cy="2499995"/>
            <wp:effectExtent l="0" t="0" r="0" b="0"/>
            <wp:docPr id="58"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5"/>
              </a:graphicData>
            </a:graphic>
          </wp:inline>
        </w:drawing>
      </w:r>
    </w:p>
    <w:p>
      <w:pPr>
        <w:pStyle w:val="10"/>
        <w:jc w:val="center"/>
        <w:rPr>
          <w:rFonts w:ascii="Times New Roman" w:hAnsi="Times New Roman" w:eastAsia="方正楷体_GBK" w:cs="Times New Roman"/>
          <w:sz w:val="24"/>
          <w:szCs w:val="24"/>
        </w:rPr>
      </w:pPr>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5</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4</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不同学历段未成年网民网络权益维护认知情况</w:t>
      </w:r>
    </w:p>
    <w:p>
      <w:pPr>
        <w:pStyle w:val="50"/>
        <w:spacing w:line="560" w:lineRule="exact"/>
        <w:ind w:firstLine="600"/>
        <w:outlineLvl w:val="1"/>
        <w:rPr>
          <w:rFonts w:eastAsia="方正黑体_GBK" w:cs="方正黑体_GBK"/>
          <w:bCs/>
          <w:sz w:val="30"/>
          <w:szCs w:val="30"/>
        </w:rPr>
      </w:pPr>
      <w:bookmarkStart w:id="171" w:name="_Toc1761547877"/>
      <w:r>
        <w:rPr>
          <w:rFonts w:hint="eastAsia" w:eastAsia="方正黑体_GBK" w:cs="方正黑体_GBK"/>
          <w:bCs/>
          <w:sz w:val="30"/>
          <w:szCs w:val="30"/>
        </w:rPr>
        <w:t>五、未成年人网络安全防范意识的情况</w:t>
      </w:r>
      <w:bookmarkEnd w:id="171"/>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未成年网民在网络安全防范方面的意识与家长、学校所开展网络安全教育的情况相关。仍有20.</w:t>
      </w:r>
      <w:r>
        <w:rPr>
          <w:rFonts w:eastAsia="方正仿宋_GBK"/>
          <w:kern w:val="0"/>
          <w:sz w:val="30"/>
          <w:szCs w:val="30"/>
        </w:rPr>
        <w:t>0</w:t>
      </w:r>
      <w:r>
        <w:rPr>
          <w:rFonts w:hint="eastAsia" w:eastAsia="方正仿宋_GBK"/>
          <w:kern w:val="0"/>
          <w:sz w:val="30"/>
          <w:szCs w:val="30"/>
        </w:rPr>
        <w:t>%的未成年网民表示在上网过程中没有考虑过网络安全防范问题。通过学历段进行区分发现，小学生的比例最高，为27.1%；其次为中等职业教育学生，比例为16.4%；初中和高中生网民相对较低，分别为11.7%和9.3%。</w:t>
      </w:r>
    </w:p>
    <w:p>
      <w:pPr>
        <w:keepNext/>
        <w:jc w:val="center"/>
      </w:pPr>
      <w:r>
        <w:drawing>
          <wp:inline distT="0" distB="0" distL="0" distR="0">
            <wp:extent cx="5077460" cy="3862070"/>
            <wp:effectExtent l="0" t="0" r="0" b="0"/>
            <wp:docPr id="3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6"/>
              </a:graphicData>
            </a:graphic>
          </wp:inline>
        </w:drawing>
      </w:r>
    </w:p>
    <w:p>
      <w:pPr>
        <w:pStyle w:val="10"/>
        <w:jc w:val="center"/>
        <w:rPr>
          <w:rFonts w:ascii="Times New Roman" w:hAnsi="Times New Roman" w:eastAsia="方正楷体_GBK" w:cs="Times New Roman"/>
          <w:sz w:val="24"/>
          <w:szCs w:val="24"/>
        </w:rPr>
      </w:pPr>
      <w:bookmarkStart w:id="172" w:name="_Toc113023937"/>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5</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5</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未成年人网络安全自我防范意识</w:t>
      </w:r>
      <w:bookmarkEnd w:id="172"/>
      <w:r>
        <w:rPr>
          <w:rFonts w:hint="eastAsia" w:ascii="Times New Roman" w:hAnsi="Times New Roman" w:eastAsia="方正楷体_GBK" w:cs="Times New Roman"/>
          <w:sz w:val="24"/>
          <w:szCs w:val="24"/>
          <w:lang w:eastAsia="zh-CN"/>
        </w:rPr>
        <w:t>（多选）</w:t>
      </w:r>
    </w:p>
    <w:p>
      <w:pPr>
        <w:widowControl/>
        <w:spacing w:line="240" w:lineRule="auto"/>
      </w:pPr>
      <w:r>
        <w:br w:type="page"/>
      </w: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此外，66.3%的未成年网民表示会在日常生活中关注未成年人上网相关的新政策新法规。</w:t>
      </w:r>
    </w:p>
    <w:p>
      <w:pPr>
        <w:keepNext/>
        <w:jc w:val="center"/>
      </w:pPr>
      <w:r>
        <w:rPr>
          <w:rFonts w:hint="eastAsia"/>
        </w:rPr>
        <w:drawing>
          <wp:inline distT="0" distB="0" distL="0" distR="0">
            <wp:extent cx="4600575" cy="2152650"/>
            <wp:effectExtent l="0" t="0" r="0" b="0"/>
            <wp:docPr id="29" name="图表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77"/>
              </a:graphicData>
            </a:graphic>
          </wp:inline>
        </w:drawing>
      </w:r>
    </w:p>
    <w:p>
      <w:pPr>
        <w:pStyle w:val="10"/>
        <w:jc w:val="center"/>
        <w:rPr>
          <w:rFonts w:ascii="Times New Roman" w:hAnsi="Times New Roman" w:eastAsia="方正楷体_GBK" w:cs="Times New Roman"/>
          <w:sz w:val="24"/>
          <w:szCs w:val="24"/>
        </w:rPr>
      </w:pPr>
      <w:bookmarkStart w:id="173" w:name="_Toc113023928"/>
      <w:r>
        <w:rPr>
          <w:rFonts w:hint="eastAsia" w:ascii="Times New Roman" w:hAnsi="Times New Roman" w:eastAsia="方正楷体_GBK" w:cs="Times New Roman"/>
          <w:sz w:val="24"/>
          <w:szCs w:val="24"/>
        </w:rPr>
        <w:t xml:space="preserve">图 </w:t>
      </w:r>
      <w:r>
        <w:rPr>
          <w:rFonts w:ascii="Times New Roman" w:hAnsi="Times New Roman" w:eastAsia="方正楷体_GBK" w:cs="Times New Roman"/>
          <w:sz w:val="24"/>
          <w:szCs w:val="24"/>
        </w:rPr>
        <w:fldChar w:fldCharType="begin"/>
      </w:r>
      <w:r>
        <w:rPr>
          <w:rFonts w:ascii="Times New Roman" w:hAnsi="Times New Roman" w:eastAsia="方正楷体_GBK" w:cs="Times New Roman"/>
          <w:sz w:val="24"/>
          <w:szCs w:val="24"/>
        </w:rPr>
        <w:instrText xml:space="preserve"> </w:instrText>
      </w:r>
      <w:r>
        <w:rPr>
          <w:rFonts w:hint="eastAsia" w:ascii="Times New Roman" w:hAnsi="Times New Roman" w:eastAsia="方正楷体_GBK" w:cs="Times New Roman"/>
          <w:sz w:val="24"/>
          <w:szCs w:val="24"/>
        </w:rPr>
        <w:instrText xml:space="preserve">SEQ 图 \* ARABIC</w:instrText>
      </w:r>
      <w:r>
        <w:rPr>
          <w:rFonts w:ascii="Times New Roman" w:hAnsi="Times New Roman" w:eastAsia="方正楷体_GBK" w:cs="Times New Roman"/>
          <w:sz w:val="24"/>
          <w:szCs w:val="24"/>
        </w:rPr>
        <w:instrText xml:space="preserve"> </w:instrText>
      </w:r>
      <w:r>
        <w:rPr>
          <w:rFonts w:ascii="Times New Roman" w:hAnsi="Times New Roman" w:eastAsia="方正楷体_GBK" w:cs="Times New Roman"/>
          <w:sz w:val="24"/>
          <w:szCs w:val="24"/>
        </w:rPr>
        <w:fldChar w:fldCharType="separate"/>
      </w:r>
      <w:r>
        <w:rPr>
          <w:rFonts w:ascii="Times New Roman" w:hAnsi="Times New Roman" w:eastAsia="方正楷体_GBK" w:cs="Times New Roman"/>
          <w:sz w:val="24"/>
          <w:szCs w:val="24"/>
        </w:rPr>
        <w:t>5</w:t>
      </w:r>
      <w:r>
        <w:rPr>
          <w:rFonts w:ascii="Times New Roman" w:hAnsi="Times New Roman" w:eastAsia="方正楷体_GBK" w:cs="Times New Roman"/>
          <w:sz w:val="24"/>
          <w:szCs w:val="24"/>
        </w:rPr>
        <w:fldChar w:fldCharType="end"/>
      </w:r>
      <w:r>
        <w:rPr>
          <w:rFonts w:hint="eastAsia" w:ascii="Times New Roman" w:hAnsi="Times New Roman" w:eastAsia="方正楷体_GBK" w:cs="Times New Roman"/>
          <w:sz w:val="24"/>
          <w:szCs w:val="24"/>
          <w:lang w:val="en-US" w:eastAsia="zh-CN"/>
        </w:rPr>
        <w:t>6</w:t>
      </w:r>
      <w:r>
        <w:rPr>
          <w:rFonts w:ascii="Times New Roman" w:hAnsi="Times New Roman" w:eastAsia="方正楷体_GBK" w:cs="Times New Roman"/>
          <w:sz w:val="24"/>
          <w:szCs w:val="24"/>
        </w:rPr>
        <w:t xml:space="preserve"> </w:t>
      </w:r>
      <w:r>
        <w:rPr>
          <w:rFonts w:hint="eastAsia" w:ascii="Times New Roman" w:hAnsi="Times New Roman" w:eastAsia="方正楷体_GBK" w:cs="Times New Roman"/>
          <w:sz w:val="24"/>
          <w:szCs w:val="24"/>
        </w:rPr>
        <w:t>未成年网民对网络保护相关新政策法规的关注情况</w:t>
      </w:r>
      <w:bookmarkEnd w:id="173"/>
    </w:p>
    <w:p>
      <w:pPr>
        <w:pStyle w:val="50"/>
        <w:spacing w:line="560" w:lineRule="exact"/>
        <w:ind w:firstLine="600"/>
        <w:rPr>
          <w:rFonts w:eastAsia="方正黑体_GBK" w:cs="方正黑体_GBK"/>
          <w:bCs/>
          <w:sz w:val="30"/>
          <w:szCs w:val="30"/>
        </w:rPr>
      </w:pPr>
      <w:bookmarkStart w:id="174" w:name="_Toc113544242"/>
    </w:p>
    <w:p>
      <w:pPr>
        <w:pStyle w:val="50"/>
        <w:spacing w:line="560" w:lineRule="exact"/>
        <w:ind w:firstLine="600"/>
        <w:rPr>
          <w:rFonts w:eastAsia="方正黑体_GBK" w:cs="方正黑体_GBK"/>
          <w:bCs/>
          <w:sz w:val="30"/>
          <w:szCs w:val="30"/>
        </w:rPr>
      </w:pPr>
      <w:r>
        <w:rPr>
          <w:rFonts w:hint="eastAsia" w:eastAsia="方正黑体_GBK" w:cs="方正黑体_GBK"/>
          <w:bCs/>
          <w:sz w:val="30"/>
          <w:szCs w:val="30"/>
        </w:rPr>
        <w:t>【本章小结</w:t>
      </w:r>
      <w:bookmarkEnd w:id="174"/>
      <w:r>
        <w:rPr>
          <w:rFonts w:hint="eastAsia" w:eastAsia="方正黑体_GBK" w:cs="方正黑体_GBK"/>
          <w:bCs/>
          <w:sz w:val="30"/>
          <w:szCs w:val="30"/>
        </w:rPr>
        <w:t>】</w:t>
      </w: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未成年人的网络安全和权益保护情况呈现以下四个主要特点：一是我国未成年人遭遇网络安全事件的比例延续了下降态势，表示“自己曾在过去半年内遭遇过网络安全事件”的未成年网民比例为25.5%，较2020年下降1.7个百分点。二是近四成未成年网民在上网过程中遭遇过不良或消极负面信息，其中炫富、躺平类不良信息对未成年人的影响最为广泛。三是未成年人网络权益维护意识明显提升，近八成未成年网民知道可以通过互联网对侵害自身的不法行为进行权益维护或举报，较2020年提升5.7个百分点。四是仍有少数未成年网民的网络安全防范意识存在不足，20</w:t>
      </w:r>
      <w:r>
        <w:rPr>
          <w:rFonts w:eastAsia="方正仿宋_GBK"/>
          <w:kern w:val="0"/>
          <w:sz w:val="30"/>
          <w:szCs w:val="30"/>
        </w:rPr>
        <w:t>.0</w:t>
      </w:r>
      <w:r>
        <w:rPr>
          <w:rFonts w:hint="eastAsia" w:eastAsia="方正仿宋_GBK"/>
          <w:kern w:val="0"/>
          <w:sz w:val="30"/>
          <w:szCs w:val="30"/>
        </w:rPr>
        <w:t>%的网民表示在上网过程中没有考虑过网络安全防范问题。</w:t>
      </w:r>
    </w:p>
    <w:p>
      <w:pPr>
        <w:ind w:firstLine="420" w:firstLineChars="200"/>
      </w:pPr>
      <w:r>
        <w:br w:type="page"/>
      </w:r>
    </w:p>
    <w:p>
      <w:pPr>
        <w:spacing w:line="560" w:lineRule="exact"/>
        <w:jc w:val="center"/>
        <w:outlineLvl w:val="0"/>
        <w:rPr>
          <w:rFonts w:eastAsia="方正小标宋简体" w:cs="方正小标宋简体"/>
          <w:sz w:val="40"/>
          <w:szCs w:val="40"/>
        </w:rPr>
      </w:pPr>
      <w:bookmarkStart w:id="175" w:name="_Toc440962117"/>
      <w:bookmarkStart w:id="176" w:name="_Toc864466811"/>
      <w:r>
        <w:rPr>
          <w:rFonts w:hint="eastAsia" w:eastAsia="方正小标宋简体" w:cs="方正小标宋简体"/>
          <w:sz w:val="40"/>
          <w:szCs w:val="40"/>
        </w:rPr>
        <w:t>附  录</w:t>
      </w:r>
      <w:bookmarkEnd w:id="175"/>
      <w:bookmarkEnd w:id="176"/>
    </w:p>
    <w:p>
      <w:pPr>
        <w:autoSpaceDE w:val="0"/>
        <w:autoSpaceDN w:val="0"/>
        <w:adjustRightInd w:val="0"/>
        <w:spacing w:line="560" w:lineRule="exact"/>
        <w:ind w:firstLine="600" w:firstLineChars="200"/>
        <w:rPr>
          <w:rFonts w:eastAsia="方正仿宋_GBK"/>
          <w:kern w:val="0"/>
          <w:sz w:val="30"/>
          <w:szCs w:val="30"/>
        </w:rPr>
      </w:pPr>
      <w:bookmarkStart w:id="177" w:name="_Toc440913552"/>
      <w:bookmarkStart w:id="178" w:name="_Toc140985571"/>
      <w:bookmarkStart w:id="179" w:name="_Toc93733262"/>
      <w:bookmarkStart w:id="180" w:name="_Toc140474256"/>
      <w:bookmarkStart w:id="181" w:name="_Toc440916531"/>
      <w:bookmarkStart w:id="182" w:name="_Toc185062456"/>
      <w:bookmarkStart w:id="183" w:name="_Toc377485503"/>
      <w:bookmarkStart w:id="184" w:name="_Toc393456480"/>
      <w:bookmarkStart w:id="185" w:name="_Toc392791827"/>
      <w:bookmarkStart w:id="186" w:name="_Toc377486304"/>
      <w:bookmarkStart w:id="187" w:name="_Toc377551846"/>
      <w:bookmarkStart w:id="188" w:name="_Toc171146597"/>
      <w:bookmarkStart w:id="189" w:name="_Toc392792235"/>
      <w:bookmarkStart w:id="190" w:name="_Toc170028801"/>
      <w:bookmarkStart w:id="191" w:name="_Toc393454643"/>
      <w:bookmarkStart w:id="192" w:name="_Toc169939546"/>
      <w:bookmarkStart w:id="193" w:name="_Toc345950525"/>
      <w:bookmarkStart w:id="194" w:name="_Toc393385890"/>
      <w:bookmarkStart w:id="195" w:name="_Toc440481635"/>
      <w:bookmarkStart w:id="196" w:name="_Toc329704200"/>
      <w:bookmarkStart w:id="197" w:name="_Toc440731709"/>
      <w:bookmarkStart w:id="198" w:name="_Toc170283061"/>
      <w:bookmarkStart w:id="199" w:name="_Toc109190473"/>
      <w:bookmarkStart w:id="200" w:name="_Toc171076901"/>
      <w:bookmarkStart w:id="201" w:name="_Toc393189197"/>
      <w:bookmarkStart w:id="202" w:name="_Toc376784061"/>
      <w:bookmarkStart w:id="203" w:name="_Toc392949303"/>
      <w:bookmarkStart w:id="204" w:name="_Toc219196064"/>
      <w:bookmarkStart w:id="205" w:name="_Toc377549231"/>
      <w:bookmarkStart w:id="206" w:name="_Toc140568640"/>
    </w:p>
    <w:p>
      <w:pPr>
        <w:pStyle w:val="50"/>
        <w:spacing w:line="560" w:lineRule="exact"/>
        <w:ind w:firstLine="600"/>
        <w:outlineLvl w:val="1"/>
        <w:rPr>
          <w:rFonts w:eastAsia="方正黑体_GBK" w:cs="方正黑体_GBK"/>
          <w:bCs/>
          <w:sz w:val="30"/>
          <w:szCs w:val="30"/>
        </w:rPr>
      </w:pPr>
      <w:bookmarkStart w:id="207" w:name="_Toc1600430996"/>
      <w:bookmarkStart w:id="208" w:name="_Toc1531281798"/>
      <w:r>
        <w:rPr>
          <w:rFonts w:hint="eastAsia" w:eastAsia="方正黑体_GBK" w:cs="方正黑体_GBK"/>
          <w:bCs/>
          <w:sz w:val="30"/>
          <w:szCs w:val="30"/>
        </w:rPr>
        <w:t>一、调查方法</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Start w:id="209" w:name="_Toc440481636"/>
      <w:bookmarkStart w:id="210" w:name="_Toc440731710"/>
      <w:bookmarkStart w:id="211" w:name="_Toc440913553"/>
      <w:bookmarkStart w:id="212" w:name="_Toc440916532"/>
      <w:bookmarkStart w:id="213" w:name="_Toc170028803"/>
      <w:bookmarkStart w:id="214" w:name="_Toc170785282"/>
      <w:bookmarkStart w:id="215" w:name="_Toc93733046"/>
      <w:bookmarkStart w:id="216" w:name="_Toc170283063"/>
      <w:bookmarkStart w:id="217" w:name="_Toc140985573"/>
      <w:bookmarkStart w:id="218" w:name="_Toc140568642"/>
      <w:bookmarkStart w:id="219" w:name="_Toc109190475"/>
      <w:bookmarkStart w:id="220" w:name="_Toc140474258"/>
      <w:bookmarkStart w:id="221" w:name="_Toc93733264"/>
      <w:bookmarkStart w:id="222" w:name="_Toc169939548"/>
    </w:p>
    <w:bookmarkEnd w:id="209"/>
    <w:bookmarkEnd w:id="210"/>
    <w:bookmarkEnd w:id="211"/>
    <w:bookmarkEnd w:id="212"/>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lang w:val="zh-CN"/>
        </w:rPr>
        <w:t>1.</w:t>
      </w:r>
      <w:r>
        <w:rPr>
          <w:rFonts w:hint="eastAsia" w:eastAsia="方正仿宋_GBK"/>
          <w:kern w:val="0"/>
          <w:sz w:val="30"/>
          <w:szCs w:val="30"/>
        </w:rPr>
        <w:t xml:space="preserve"> </w:t>
      </w:r>
      <w:r>
        <w:rPr>
          <w:rFonts w:hint="eastAsia" w:eastAsia="方正楷体_GBK" w:cs="方正楷体_GBK"/>
          <w:kern w:val="0"/>
          <w:sz w:val="30"/>
          <w:szCs w:val="30"/>
          <w:lang w:val="zh-CN"/>
        </w:rPr>
        <w:t>调查总体。</w:t>
      </w:r>
      <w:r>
        <w:rPr>
          <w:rFonts w:hint="eastAsia" w:eastAsia="方正仿宋_GBK"/>
          <w:kern w:val="0"/>
          <w:sz w:val="30"/>
          <w:szCs w:val="30"/>
        </w:rPr>
        <w:t>中国18岁以下小学、初中、高中、职高、中专、技校在校学生，学生家长及教师。调查总体未成年人样本26,349个、未成年人家长样本1</w:t>
      </w:r>
      <w:r>
        <w:rPr>
          <w:rFonts w:eastAsia="方正仿宋_GBK"/>
          <w:kern w:val="0"/>
          <w:sz w:val="30"/>
          <w:szCs w:val="30"/>
        </w:rPr>
        <w:t>3</w:t>
      </w:r>
      <w:r>
        <w:rPr>
          <w:rFonts w:hint="eastAsia" w:eastAsia="方正仿宋_GBK"/>
          <w:kern w:val="0"/>
          <w:sz w:val="30"/>
          <w:szCs w:val="30"/>
        </w:rPr>
        <w:t>,283个、教师样本1</w:t>
      </w:r>
      <w:r>
        <w:rPr>
          <w:rFonts w:eastAsia="方正仿宋_GBK"/>
          <w:kern w:val="0"/>
          <w:sz w:val="30"/>
          <w:szCs w:val="30"/>
        </w:rPr>
        <w:t>,</w:t>
      </w:r>
      <w:r>
        <w:rPr>
          <w:rFonts w:hint="eastAsia" w:eastAsia="方正仿宋_GBK"/>
          <w:kern w:val="0"/>
          <w:sz w:val="30"/>
          <w:szCs w:val="30"/>
        </w:rPr>
        <w:t>632个，样本覆盖31个省（自治区、直辖市）。</w:t>
      </w:r>
    </w:p>
    <w:p>
      <w:pPr>
        <w:autoSpaceDE w:val="0"/>
        <w:autoSpaceDN w:val="0"/>
        <w:adjustRightInd w:val="0"/>
        <w:spacing w:line="560" w:lineRule="exact"/>
        <w:ind w:firstLine="600" w:firstLineChars="200"/>
        <w:rPr>
          <w:rFonts w:eastAsia="方正仿宋_GBK"/>
          <w:kern w:val="0"/>
          <w:sz w:val="30"/>
          <w:szCs w:val="30"/>
          <w:lang w:val="zh-CN"/>
        </w:rPr>
      </w:pPr>
      <w:bookmarkStart w:id="223" w:name="_Toc280085850"/>
      <w:r>
        <w:rPr>
          <w:rFonts w:hint="eastAsia" w:eastAsia="方正仿宋_GBK"/>
          <w:kern w:val="0"/>
          <w:sz w:val="30"/>
          <w:szCs w:val="30"/>
        </w:rPr>
        <w:t xml:space="preserve">2. </w:t>
      </w:r>
      <w:r>
        <w:rPr>
          <w:rFonts w:hint="eastAsia" w:eastAsia="方正楷体_GBK" w:cs="方正楷体_GBK"/>
          <w:kern w:val="0"/>
          <w:sz w:val="30"/>
          <w:szCs w:val="30"/>
          <w:lang w:val="zh-CN"/>
        </w:rPr>
        <w:t>抽样方式</w:t>
      </w:r>
      <w:bookmarkEnd w:id="223"/>
      <w:r>
        <w:rPr>
          <w:rFonts w:hint="eastAsia" w:eastAsia="方正仿宋_GBK"/>
          <w:kern w:val="0"/>
          <w:sz w:val="30"/>
          <w:szCs w:val="30"/>
          <w:lang w:val="zh-CN"/>
        </w:rPr>
        <w:t>。本次调查采用分层二阶段抽样方式，第一阶段按照行政划分将全国分成31层，第二阶段为省下各地市的抽样。第二阶段中，在每个地级市选择7所学校（高中、初中、小学各</w:t>
      </w:r>
      <w:r>
        <w:rPr>
          <w:rFonts w:hint="eastAsia" w:eastAsia="方正仿宋_GBK"/>
          <w:kern w:val="0"/>
          <w:sz w:val="30"/>
          <w:szCs w:val="30"/>
        </w:rPr>
        <w:t>2</w:t>
      </w:r>
      <w:r>
        <w:rPr>
          <w:rFonts w:hint="eastAsia" w:eastAsia="方正仿宋_GBK"/>
          <w:kern w:val="0"/>
          <w:sz w:val="30"/>
          <w:szCs w:val="30"/>
          <w:lang w:val="zh-CN"/>
        </w:rPr>
        <w:t>所，各学历段包含农村和城镇地区各</w:t>
      </w:r>
      <w:r>
        <w:rPr>
          <w:rFonts w:hint="eastAsia" w:eastAsia="方正仿宋_GBK"/>
          <w:kern w:val="0"/>
          <w:sz w:val="30"/>
          <w:szCs w:val="30"/>
        </w:rPr>
        <w:t>1</w:t>
      </w:r>
      <w:r>
        <w:rPr>
          <w:rFonts w:hint="eastAsia" w:eastAsia="方正仿宋_GBK"/>
          <w:kern w:val="0"/>
          <w:sz w:val="30"/>
          <w:szCs w:val="30"/>
          <w:lang w:val="zh-CN"/>
        </w:rPr>
        <w:t>所；职高、中专、技校等职业学校</w:t>
      </w:r>
      <w:r>
        <w:rPr>
          <w:rFonts w:hint="eastAsia" w:eastAsia="方正仿宋_GBK"/>
          <w:kern w:val="0"/>
          <w:sz w:val="30"/>
          <w:szCs w:val="30"/>
        </w:rPr>
        <w:t>1</w:t>
      </w:r>
      <w:r>
        <w:rPr>
          <w:rFonts w:hint="eastAsia" w:eastAsia="方正仿宋_GBK"/>
          <w:kern w:val="0"/>
          <w:sz w:val="30"/>
          <w:szCs w:val="30"/>
          <w:lang w:val="zh-CN"/>
        </w:rPr>
        <w:t>所），抽中学校每个年级随机抽取一个班做全员调查。</w:t>
      </w: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 xml:space="preserve">3. </w:t>
      </w:r>
      <w:r>
        <w:rPr>
          <w:rFonts w:hint="eastAsia" w:eastAsia="方正楷体_GBK" w:cs="方正楷体_GBK"/>
          <w:kern w:val="0"/>
          <w:sz w:val="30"/>
          <w:szCs w:val="30"/>
          <w:lang w:val="zh-CN"/>
        </w:rPr>
        <w:t>调查方式</w:t>
      </w:r>
      <w:r>
        <w:rPr>
          <w:rFonts w:hint="eastAsia" w:eastAsia="方正仿宋_GBK"/>
          <w:kern w:val="0"/>
          <w:sz w:val="30"/>
          <w:szCs w:val="30"/>
          <w:lang w:val="zh-CN"/>
        </w:rPr>
        <w:t>。</w:t>
      </w:r>
      <w:r>
        <w:rPr>
          <w:rFonts w:hint="eastAsia" w:eastAsia="方正仿宋_GBK"/>
          <w:kern w:val="0"/>
          <w:sz w:val="30"/>
          <w:szCs w:val="30"/>
        </w:rPr>
        <w:t>主要通过纸质问卷进行调查，少数受到疫情影响的城市进行线上问卷调查。</w:t>
      </w:r>
    </w:p>
    <w:bookmarkEnd w:id="213"/>
    <w:bookmarkEnd w:id="214"/>
    <w:bookmarkEnd w:id="215"/>
    <w:bookmarkEnd w:id="216"/>
    <w:bookmarkEnd w:id="217"/>
    <w:bookmarkEnd w:id="218"/>
    <w:bookmarkEnd w:id="219"/>
    <w:bookmarkEnd w:id="220"/>
    <w:bookmarkEnd w:id="221"/>
    <w:bookmarkEnd w:id="222"/>
    <w:p>
      <w:pPr>
        <w:spacing w:line="560" w:lineRule="exact"/>
        <w:ind w:firstLine="420" w:firstLineChars="140"/>
        <w:outlineLvl w:val="1"/>
        <w:rPr>
          <w:rFonts w:eastAsia="方正黑体_GBK" w:cs="方正黑体_GBK"/>
          <w:bCs/>
          <w:sz w:val="30"/>
          <w:szCs w:val="30"/>
        </w:rPr>
      </w:pPr>
      <w:bookmarkStart w:id="224" w:name="_Toc1345667549"/>
      <w:bookmarkStart w:id="225" w:name="_Toc440731714"/>
      <w:bookmarkStart w:id="226" w:name="_Toc440481640"/>
      <w:bookmarkStart w:id="227" w:name="_Toc329704201"/>
      <w:bookmarkStart w:id="228" w:name="_Toc345950526"/>
      <w:bookmarkStart w:id="229" w:name="_Toc440916536"/>
      <w:bookmarkStart w:id="230" w:name="_Toc440913557"/>
      <w:bookmarkStart w:id="231" w:name="_Toc973258229"/>
      <w:r>
        <w:rPr>
          <w:rFonts w:hint="eastAsia" w:eastAsia="方正黑体_GBK" w:cs="方正黑体_GBK"/>
          <w:bCs/>
          <w:sz w:val="30"/>
          <w:szCs w:val="30"/>
        </w:rPr>
        <w:t>二、报告术语界定</w:t>
      </w:r>
      <w:bookmarkEnd w:id="224"/>
      <w:bookmarkEnd w:id="225"/>
      <w:bookmarkEnd w:id="226"/>
      <w:bookmarkEnd w:id="227"/>
      <w:bookmarkEnd w:id="228"/>
      <w:bookmarkEnd w:id="229"/>
      <w:bookmarkEnd w:id="230"/>
      <w:bookmarkEnd w:id="231"/>
    </w:p>
    <w:p>
      <w:pPr>
        <w:autoSpaceDE w:val="0"/>
        <w:autoSpaceDN w:val="0"/>
        <w:adjustRightInd w:val="0"/>
        <w:spacing w:line="560" w:lineRule="exact"/>
        <w:ind w:firstLine="600" w:firstLineChars="200"/>
        <w:rPr>
          <w:rFonts w:eastAsia="方正仿宋_GBK"/>
          <w:kern w:val="0"/>
          <w:sz w:val="30"/>
          <w:szCs w:val="30"/>
        </w:rPr>
      </w:pPr>
      <w:r>
        <w:rPr>
          <w:rFonts w:hint="eastAsia" w:eastAsia="方正楷体_GBK" w:cs="方正楷体_GBK"/>
          <w:kern w:val="0"/>
          <w:sz w:val="30"/>
          <w:szCs w:val="30"/>
        </w:rPr>
        <w:t>网民</w:t>
      </w:r>
      <w:r>
        <w:rPr>
          <w:rFonts w:hint="eastAsia" w:eastAsia="方正仿宋_GBK"/>
          <w:kern w:val="0"/>
          <w:sz w:val="30"/>
          <w:szCs w:val="30"/>
        </w:rPr>
        <w:t>：中国互联网络信息中心（CNNIC）对网民的定义为</w:t>
      </w:r>
      <w:r>
        <w:rPr>
          <w:rFonts w:hint="eastAsia" w:eastAsia="方正仿宋_GBK"/>
          <w:kern w:val="0"/>
          <w:sz w:val="30"/>
          <w:szCs w:val="30"/>
          <w:lang w:eastAsia="zh-CN"/>
        </w:rPr>
        <w:t>，</w:t>
      </w:r>
      <w:r>
        <w:rPr>
          <w:rFonts w:hint="eastAsia" w:eastAsia="方正仿宋_GBK"/>
          <w:kern w:val="0"/>
          <w:sz w:val="30"/>
          <w:szCs w:val="30"/>
        </w:rPr>
        <w:t>过去半年内使用过互联网的6周岁及以上我国居民。</w:t>
      </w:r>
    </w:p>
    <w:p>
      <w:pPr>
        <w:autoSpaceDE w:val="0"/>
        <w:autoSpaceDN w:val="0"/>
        <w:adjustRightInd w:val="0"/>
        <w:spacing w:line="560" w:lineRule="exact"/>
        <w:ind w:firstLine="600" w:firstLineChars="200"/>
        <w:rPr>
          <w:rFonts w:eastAsia="方正仿宋_GBK"/>
          <w:kern w:val="0"/>
          <w:sz w:val="30"/>
          <w:szCs w:val="30"/>
        </w:rPr>
      </w:pPr>
      <w:r>
        <w:rPr>
          <w:rFonts w:hint="eastAsia" w:eastAsia="方正楷体_GBK" w:cs="方正楷体_GBK"/>
          <w:kern w:val="0"/>
          <w:sz w:val="30"/>
          <w:szCs w:val="30"/>
        </w:rPr>
        <w:t>未成年网民</w:t>
      </w:r>
      <w:r>
        <w:rPr>
          <w:rFonts w:hint="eastAsia" w:eastAsia="方正仿宋_GBK"/>
          <w:kern w:val="0"/>
          <w:sz w:val="30"/>
          <w:szCs w:val="30"/>
        </w:rPr>
        <w:t>：本报告中指6岁到18岁的小学、初中、高中、职高、中专、技校在校学生中的网民。</w:t>
      </w:r>
    </w:p>
    <w:p>
      <w:pPr>
        <w:autoSpaceDE w:val="0"/>
        <w:autoSpaceDN w:val="0"/>
        <w:adjustRightInd w:val="0"/>
        <w:spacing w:line="560" w:lineRule="exact"/>
        <w:ind w:firstLine="600" w:firstLineChars="200"/>
        <w:rPr>
          <w:rFonts w:eastAsia="方正仿宋_GBK"/>
          <w:kern w:val="0"/>
          <w:sz w:val="30"/>
          <w:szCs w:val="30"/>
        </w:rPr>
      </w:pPr>
      <w:r>
        <w:rPr>
          <w:rFonts w:hint="eastAsia" w:eastAsia="方正楷体_GBK" w:cs="方正楷体_GBK"/>
          <w:kern w:val="0"/>
          <w:sz w:val="30"/>
          <w:szCs w:val="30"/>
        </w:rPr>
        <w:t>未成年非网民</w:t>
      </w:r>
      <w:r>
        <w:rPr>
          <w:rFonts w:hint="eastAsia" w:eastAsia="方正仿宋_GBK"/>
          <w:kern w:val="0"/>
          <w:sz w:val="30"/>
          <w:szCs w:val="30"/>
        </w:rPr>
        <w:t>：本报告中指6岁到18岁的小学、初中、高中、职高、中专、技校在校学生中的非网民。</w:t>
      </w:r>
    </w:p>
    <w:p>
      <w:pPr>
        <w:autoSpaceDE w:val="0"/>
        <w:autoSpaceDN w:val="0"/>
        <w:adjustRightInd w:val="0"/>
        <w:spacing w:line="560" w:lineRule="exact"/>
        <w:ind w:firstLine="600" w:firstLineChars="200"/>
        <w:rPr>
          <w:rFonts w:eastAsia="方正仿宋_GBK"/>
          <w:kern w:val="0"/>
          <w:sz w:val="30"/>
          <w:szCs w:val="30"/>
        </w:rPr>
      </w:pPr>
      <w:r>
        <w:rPr>
          <w:rFonts w:hint="eastAsia" w:eastAsia="方正楷体_GBK" w:cs="方正楷体_GBK"/>
          <w:kern w:val="0"/>
          <w:sz w:val="30"/>
          <w:szCs w:val="30"/>
        </w:rPr>
        <w:t>中等职业教育</w:t>
      </w:r>
      <w:r>
        <w:rPr>
          <w:rFonts w:hint="eastAsia" w:eastAsia="方正仿宋_GBK"/>
          <w:kern w:val="0"/>
          <w:sz w:val="30"/>
          <w:szCs w:val="30"/>
        </w:rPr>
        <w:t>：包括职高、中专、技校。</w:t>
      </w:r>
    </w:p>
    <w:p>
      <w:pPr>
        <w:autoSpaceDE w:val="0"/>
        <w:autoSpaceDN w:val="0"/>
        <w:adjustRightInd w:val="0"/>
        <w:spacing w:line="560" w:lineRule="exact"/>
        <w:ind w:firstLine="600" w:firstLineChars="200"/>
        <w:rPr>
          <w:rFonts w:eastAsia="方正仿宋_GBK"/>
          <w:kern w:val="0"/>
          <w:sz w:val="30"/>
          <w:szCs w:val="30"/>
        </w:rPr>
      </w:pPr>
      <w:r>
        <w:rPr>
          <w:rFonts w:hint="eastAsia" w:eastAsia="方正楷体_GBK" w:cs="方正楷体_GBK"/>
          <w:kern w:val="0"/>
          <w:sz w:val="30"/>
          <w:szCs w:val="30"/>
        </w:rPr>
        <w:t>网络暴力</w:t>
      </w:r>
      <w:r>
        <w:rPr>
          <w:rFonts w:hint="eastAsia" w:eastAsia="方正仿宋_GBK"/>
          <w:kern w:val="0"/>
          <w:sz w:val="30"/>
          <w:szCs w:val="30"/>
        </w:rPr>
        <w:t>：本报告中指在网络上发表具有伤害性、侮辱性和煽动性的言论、图片、视频的行为。</w:t>
      </w:r>
    </w:p>
    <w:p>
      <w:pPr>
        <w:autoSpaceDE w:val="0"/>
        <w:autoSpaceDN w:val="0"/>
        <w:adjustRightInd w:val="0"/>
        <w:spacing w:line="560" w:lineRule="exact"/>
        <w:ind w:firstLine="600" w:firstLineChars="200"/>
        <w:rPr>
          <w:rFonts w:eastAsia="方正仿宋_GBK"/>
          <w:kern w:val="0"/>
          <w:sz w:val="30"/>
          <w:szCs w:val="30"/>
        </w:rPr>
      </w:pPr>
      <w:r>
        <w:rPr>
          <w:rFonts w:hint="eastAsia" w:eastAsia="方正楷体_GBK" w:cs="方正楷体_GBK"/>
          <w:kern w:val="0"/>
          <w:sz w:val="30"/>
          <w:szCs w:val="30"/>
        </w:rPr>
        <w:t>网络不良或消极负面信息</w:t>
      </w:r>
      <w:r>
        <w:rPr>
          <w:rFonts w:hint="eastAsia" w:eastAsia="方正仿宋_GBK"/>
          <w:kern w:val="0"/>
          <w:sz w:val="30"/>
          <w:szCs w:val="30"/>
        </w:rPr>
        <w:t>：本报告中指在互联网上传播的淫秽色情、血腥暴力，以及炫富、消极颓废思想等信息。</w:t>
      </w:r>
    </w:p>
    <w:p>
      <w:pPr>
        <w:autoSpaceDE w:val="0"/>
        <w:autoSpaceDN w:val="0"/>
        <w:adjustRightInd w:val="0"/>
        <w:spacing w:line="560" w:lineRule="exact"/>
        <w:ind w:firstLine="600" w:firstLineChars="200"/>
        <w:rPr>
          <w:rFonts w:eastAsia="方正仿宋_GBK"/>
          <w:kern w:val="0"/>
          <w:sz w:val="30"/>
          <w:szCs w:val="30"/>
        </w:rPr>
      </w:pPr>
      <w:r>
        <w:rPr>
          <w:rFonts w:hint="eastAsia" w:eastAsia="方正楷体_GBK" w:cs="方正楷体_GBK"/>
          <w:kern w:val="0"/>
          <w:sz w:val="30"/>
          <w:szCs w:val="30"/>
        </w:rPr>
        <w:t>调查范围</w:t>
      </w:r>
      <w:r>
        <w:rPr>
          <w:rFonts w:hint="eastAsia" w:eastAsia="方正仿宋_GBK"/>
          <w:kern w:val="0"/>
          <w:sz w:val="30"/>
          <w:szCs w:val="30"/>
        </w:rPr>
        <w:t>：本报告数据不包括中国香港、中国澳门和中国台湾地区。</w:t>
      </w:r>
    </w:p>
    <w:p>
      <w:pPr>
        <w:widowControl/>
        <w:spacing w:line="240" w:lineRule="auto"/>
      </w:pPr>
      <w:r>
        <w:br w:type="page"/>
      </w:r>
    </w:p>
    <w:p>
      <w:pPr>
        <w:spacing w:line="560" w:lineRule="exact"/>
        <w:jc w:val="center"/>
        <w:outlineLvl w:val="0"/>
        <w:rPr>
          <w:rFonts w:eastAsia="方正小标宋简体" w:cs="方正小标宋简体"/>
          <w:sz w:val="40"/>
          <w:szCs w:val="40"/>
        </w:rPr>
      </w:pPr>
      <w:bookmarkStart w:id="232" w:name="_Toc1467050632"/>
      <w:r>
        <w:rPr>
          <w:rFonts w:hint="eastAsia" w:eastAsia="方正小标宋简体" w:cs="方正小标宋简体"/>
          <w:sz w:val="40"/>
          <w:szCs w:val="40"/>
        </w:rPr>
        <w:t>免责声明</w:t>
      </w:r>
      <w:bookmarkEnd w:id="232"/>
    </w:p>
    <w:p>
      <w:pPr>
        <w:autoSpaceDE w:val="0"/>
        <w:autoSpaceDN w:val="0"/>
        <w:adjustRightInd w:val="0"/>
        <w:spacing w:line="560" w:lineRule="exact"/>
        <w:ind w:firstLine="600" w:firstLineChars="200"/>
        <w:rPr>
          <w:rFonts w:eastAsia="方正仿宋_GBK"/>
          <w:kern w:val="0"/>
          <w:sz w:val="30"/>
          <w:szCs w:val="30"/>
        </w:rPr>
      </w:pPr>
    </w:p>
    <w:p>
      <w:pPr>
        <w:autoSpaceDE w:val="0"/>
        <w:autoSpaceDN w:val="0"/>
        <w:adjustRightInd w:val="0"/>
        <w:spacing w:line="560" w:lineRule="exact"/>
        <w:ind w:firstLine="600" w:firstLineChars="200"/>
        <w:rPr>
          <w:rFonts w:eastAsia="方正仿宋_GBK"/>
          <w:kern w:val="0"/>
          <w:sz w:val="30"/>
          <w:szCs w:val="30"/>
        </w:rPr>
      </w:pPr>
      <w:r>
        <w:rPr>
          <w:rFonts w:hint="eastAsia" w:eastAsia="方正仿宋_GBK"/>
          <w:kern w:val="0"/>
          <w:sz w:val="30"/>
          <w:szCs w:val="30"/>
        </w:rPr>
        <w:t>本报告中的调研数据均采用样本调研方法获得，其数据结果受到样本的影响，部分数据未必能够完全反映真实情况。所以，本报告只提供给单位或个人作为参考资料，研究方不承担因使用本报告而产生的法律责任。</w:t>
      </w:r>
    </w:p>
    <w:p>
      <w:pPr>
        <w:autoSpaceDE w:val="0"/>
        <w:autoSpaceDN w:val="0"/>
        <w:adjustRightInd w:val="0"/>
        <w:spacing w:line="560" w:lineRule="exact"/>
        <w:ind w:firstLine="600" w:firstLineChars="200"/>
        <w:rPr>
          <w:rFonts w:eastAsia="方正仿宋_GBK"/>
          <w:kern w:val="0"/>
          <w:sz w:val="30"/>
          <w:szCs w:val="30"/>
        </w:rPr>
      </w:pPr>
    </w:p>
    <w:p>
      <w:pPr>
        <w:autoSpaceDE w:val="0"/>
        <w:autoSpaceDN w:val="0"/>
        <w:adjustRightInd w:val="0"/>
        <w:spacing w:line="560" w:lineRule="exact"/>
        <w:ind w:firstLine="600" w:firstLineChars="200"/>
        <w:rPr>
          <w:rFonts w:eastAsia="方正仿宋_GBK"/>
          <w:kern w:val="0"/>
          <w:sz w:val="30"/>
          <w:szCs w:val="30"/>
        </w:rPr>
      </w:pPr>
    </w:p>
    <w:p>
      <w:pPr>
        <w:autoSpaceDE w:val="0"/>
        <w:autoSpaceDN w:val="0"/>
        <w:adjustRightInd w:val="0"/>
        <w:spacing w:line="560" w:lineRule="exact"/>
        <w:ind w:right="420" w:rightChars="200"/>
        <w:jc w:val="right"/>
        <w:rPr>
          <w:rFonts w:eastAsia="方正仿宋_GBK"/>
          <w:kern w:val="0"/>
          <w:sz w:val="30"/>
          <w:szCs w:val="30"/>
        </w:rPr>
      </w:pPr>
      <w:r>
        <w:rPr>
          <w:rFonts w:hint="eastAsia" w:eastAsia="方正仿宋_GBK"/>
          <w:kern w:val="0"/>
          <w:sz w:val="30"/>
          <w:szCs w:val="30"/>
        </w:rPr>
        <w:t>共青团中央维护青少年权益部</w:t>
      </w:r>
    </w:p>
    <w:p>
      <w:pPr>
        <w:autoSpaceDE w:val="0"/>
        <w:autoSpaceDN w:val="0"/>
        <w:adjustRightInd w:val="0"/>
        <w:spacing w:line="560" w:lineRule="exact"/>
        <w:ind w:right="420" w:rightChars="200"/>
        <w:jc w:val="center"/>
        <w:rPr>
          <w:rFonts w:eastAsia="方正仿宋_GBK"/>
          <w:kern w:val="0"/>
          <w:sz w:val="30"/>
          <w:szCs w:val="30"/>
        </w:rPr>
      </w:pPr>
      <w:r>
        <w:rPr>
          <w:rFonts w:hint="eastAsia" w:eastAsia="方正仿宋_GBK"/>
          <w:kern w:val="0"/>
          <w:sz w:val="30"/>
          <w:szCs w:val="30"/>
        </w:rPr>
        <w:t xml:space="preserve">                              中国互联网络信息中心</w:t>
      </w:r>
    </w:p>
    <w:p>
      <w:pPr>
        <w:autoSpaceDE w:val="0"/>
        <w:autoSpaceDN w:val="0"/>
        <w:adjustRightInd w:val="0"/>
        <w:spacing w:line="560" w:lineRule="exact"/>
        <w:ind w:right="420" w:rightChars="200"/>
        <w:jc w:val="center"/>
        <w:rPr>
          <w:rFonts w:eastAsia="方正仿宋_GBK"/>
          <w:kern w:val="0"/>
          <w:sz w:val="30"/>
          <w:szCs w:val="30"/>
        </w:rPr>
      </w:pPr>
      <w:r>
        <w:rPr>
          <w:rFonts w:hint="eastAsia" w:eastAsia="方正仿宋_GBK"/>
          <w:kern w:val="0"/>
          <w:sz w:val="30"/>
          <w:szCs w:val="30"/>
        </w:rPr>
        <w:t xml:space="preserve">                               2022年1</w:t>
      </w:r>
      <w:r>
        <w:rPr>
          <w:rFonts w:hint="eastAsia" w:eastAsia="方正仿宋_GBK"/>
          <w:kern w:val="0"/>
          <w:sz w:val="30"/>
          <w:szCs w:val="30"/>
          <w:lang w:val="en-US" w:eastAsia="zh-CN"/>
        </w:rPr>
        <w:t>1</w:t>
      </w:r>
      <w:r>
        <w:rPr>
          <w:rFonts w:hint="eastAsia" w:eastAsia="方正仿宋_GBK"/>
          <w:kern w:val="0"/>
          <w:sz w:val="30"/>
          <w:szCs w:val="30"/>
        </w:rPr>
        <w:t>月</w:t>
      </w:r>
    </w:p>
    <w:sectPr>
      <w:footerReference r:id="rId19" w:type="default"/>
      <w:footnotePr>
        <w:numFmt w:val="decimalEnclosedCircleChinese"/>
        <w:numRestart w:val="eachPage"/>
      </w:footnotePr>
      <w:pgSz w:w="11906" w:h="16838"/>
      <w:pgMar w:top="1984" w:right="1531" w:bottom="1984" w:left="1531"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大标宋_GBK">
    <w:altName w:val="宋体"/>
    <w:panose1 w:val="00000000000000000000"/>
    <w:charset w:val="86"/>
    <w:family w:val="script"/>
    <w:pitch w:val="default"/>
    <w:sig w:usb0="00000000" w:usb1="00000000" w:usb2="00000010" w:usb3="00000000" w:csb0="00040000" w:csb1="00000000"/>
  </w:font>
  <w:font w:name="方正黑体_GBK">
    <w:panose1 w:val="03000509000000000000"/>
    <w:charset w:val="86"/>
    <w:family w:val="auto"/>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Calibri">
    <w:panose1 w:val="020F0502020204030204"/>
    <w:charset w:val="01"/>
    <w:family w:val="auto"/>
    <w:pitch w:val="default"/>
    <w:sig w:usb0="E4002EFF" w:usb1="C000247B" w:usb2="00000009" w:usb3="00000000" w:csb0="2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19"/>
          <w:jc w:val="center"/>
        </w:pPr>
        <w:r>
          <w:fldChar w:fldCharType="begin"/>
        </w:r>
        <w:r>
          <w:instrText xml:space="preserve">PAGE   \* MERGEFORMAT</w:instrText>
        </w:r>
        <w:r>
          <w:fldChar w:fldCharType="separate"/>
        </w:r>
        <w:r>
          <w:rPr>
            <w:lang w:val="zh-CN"/>
          </w:rPr>
          <w:t>2</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spacing w:line="240" w:lineRule="auto"/>
      <w:jc w:val="center"/>
      <w:rPr>
        <w:rFonts w:ascii="黑体" w:hAnsi="黑体" w:eastAsia="黑体"/>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UqPGc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SKKZQsXPP76f&#10;f/4+//pGcAaBGuvniHuwiAztO9OibYZzj8PIuy2dil8wIvAD63SRV7SB8HhpNp3NxnBx+IYN8LOn&#10;69b58F4YRaKRU4f6JVnZcetDFzqExGzabGopUw2lJk1Or6/ejtOFiwfgUiNHJNE9Nlqh3bU9s50p&#10;TiDmTNcb3vJNjeRb5sM9c2gGPBjjEu6wlNIgiektSirjvv7rPMajRvBS0qC5cqoxS5TIDxq1A2AY&#10;DDcYu8HQB3Vr0K0TjKHlycQFF+Rgls6oL5ihVcwBF9McmXIaBvM2dA2OGeRitUpB6DbLwlY/WB6h&#10;o3jerg4BAiZdoyidEr1W6LdUmX42YkP/uU9RT/+D5S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pSo8ZywCAABXBAAADgAAAAAAAAABACAAAAAfAQAAZHJzL2Uyb0RvYy54bWxQSwUGAAAAAAYA&#10;BgBZAQAAvQU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ascii="黑体" w:hAnsi="黑体" w:eastAsia="黑体"/>
      </w:rPr>
      <w:t>20</w:t>
    </w:r>
    <w:r>
      <w:rPr>
        <w:rFonts w:ascii="黑体" w:hAnsi="黑体" w:eastAsia="黑体"/>
      </w:rPr>
      <w:t>21</w:t>
    </w:r>
    <w:r>
      <w:rPr>
        <w:rFonts w:hint="eastAsia" w:ascii="黑体" w:hAnsi="黑体" w:eastAsia="黑体"/>
      </w:rPr>
      <w:t>年全国未成年人互联网使用情况研究报告</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x+U5ssAgAAVw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cno1oUQzhY6ff3w/&#10;//x9/vWN4AwCNdbPEfdgERnad6bF2AznHoeRd1s6Fb9gROCHvKeLvKINhMdLs+lsNoaLwzdsgJ89&#10;XbfOh/fCKBKNnDr0L8nKjlsfutAhJGbTZlNLmXooNWlyev32apwuXDwAlxo5Iomu2GiFdtf2zHam&#10;OIGYM91seMs3NZJvmQ/3zGEYUDCeS7jDUkqDJKa3KKmM+/qv8xiPHsFLSYPhyqnGW6JEftDoHQDD&#10;YLjB2A2GPqhbg2lFO1BLMnHBBTmYpTPqC97QKuaAi2mOTDkNg3kbugHHG+RitUpBmDbLwlY/WB6h&#10;o3jerg4BAiZdoyidEr1WmLfUmf5txIH+c5+inv4Hy0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H5TmywCAABXBAAADgAAAAAAAAABACAAAAAfAQAAZHJzL2Uyb0RvYy54bWxQSwUGAAAAAAYA&#10;BgBZAQAAvQU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spacing w:line="240" w:lineRule="auto"/>
      <w:jc w:val="center"/>
      <w:rPr>
        <w:rFonts w:ascii="黑体" w:hAnsi="黑体" w:eastAsia="黑体"/>
      </w:rPr>
    </w:pPr>
    <w:r>
      <w:rPr>
        <w:rFonts w:ascii="黑体" w:hAnsi="黑体" w:eastAsia="黑体"/>
      </w:rPr>
      <mc:AlternateContent>
        <mc:Choice Requires="wps">
          <w:drawing>
            <wp:anchor distT="0" distB="0" distL="114300" distR="114300" simplePos="0" relativeHeight="251659264" behindDoc="0" locked="0" layoutInCell="1" allowOverlap="1">
              <wp:simplePos x="0" y="0"/>
              <wp:positionH relativeFrom="column">
                <wp:posOffset>5314950</wp:posOffset>
              </wp:positionH>
              <wp:positionV relativeFrom="paragraph">
                <wp:posOffset>10795</wp:posOffset>
              </wp:positionV>
              <wp:extent cx="952500" cy="590550"/>
              <wp:effectExtent l="0" t="0" r="0" b="0"/>
              <wp:wrapNone/>
              <wp:docPr id="46" name="Rectangle 86"/>
              <wp:cNvGraphicFramePr/>
              <a:graphic xmlns:a="http://schemas.openxmlformats.org/drawingml/2006/main">
                <a:graphicData uri="http://schemas.microsoft.com/office/word/2010/wordprocessingShape">
                  <wps:wsp>
                    <wps:cNvSpPr>
                      <a:spLocks noChangeArrowheads="1"/>
                    </wps:cNvSpPr>
                    <wps:spPr bwMode="auto">
                      <a:xfrm>
                        <a:off x="0" y="0"/>
                        <a:ext cx="952500" cy="590550"/>
                      </a:xfrm>
                      <a:prstGeom prst="rect">
                        <a:avLst/>
                      </a:prstGeom>
                      <a:solidFill>
                        <a:srgbClr val="FFFFFF"/>
                      </a:solidFill>
                      <a:ln>
                        <a:noFill/>
                      </a:ln>
                    </wps:spPr>
                    <wps:txbx>
                      <w:txbxContent>
                        <w:p>
                          <w:r>
                            <w:drawing>
                              <wp:inline distT="0" distB="0" distL="0" distR="0">
                                <wp:extent cx="312420" cy="327660"/>
                                <wp:effectExtent l="19050" t="0" r="0" b="0"/>
                                <wp:docPr id="82" name="图片 231" descr="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231" descr="11111.png"/>
                                        <pic:cNvPicPr>
                                          <a:picLocks noChangeAspect="1"/>
                                        </pic:cNvPicPr>
                                      </pic:nvPicPr>
                                      <pic:blipFill>
                                        <a:blip r:embed="rId1"/>
                                        <a:stretch>
                                          <a:fillRect/>
                                        </a:stretch>
                                      </pic:blipFill>
                                      <pic:spPr>
                                        <a:xfrm>
                                          <a:off x="0" y="0"/>
                                          <a:ext cx="312420" cy="327660"/>
                                        </a:xfrm>
                                        <a:prstGeom prst="rect">
                                          <a:avLst/>
                                        </a:prstGeom>
                                      </pic:spPr>
                                    </pic:pic>
                                  </a:graphicData>
                                </a:graphic>
                              </wp:inline>
                            </w:drawing>
                          </w:r>
                          <w:r>
                            <w:rPr>
                              <w:rFonts w:ascii="黑体" w:hAnsi="黑体" w:eastAsia="黑体"/>
                              <w:sz w:val="32"/>
                              <w:szCs w:val="32"/>
                            </w:rPr>
                            <w:t xml:space="preserve"> </w:t>
                          </w:r>
                          <w:sdt>
                            <w:sdtPr>
                              <w:rPr>
                                <w:rFonts w:ascii="黑体" w:hAnsi="黑体" w:eastAsia="黑体"/>
                                <w:sz w:val="32"/>
                                <w:szCs w:val="32"/>
                              </w:rPr>
                              <w:id w:val="11586261"/>
                            </w:sdtPr>
                            <w:sdtEndPr>
                              <w:rPr>
                                <w:rFonts w:ascii="黑体" w:hAnsi="黑体" w:eastAsia="黑体"/>
                                <w:sz w:val="32"/>
                                <w:szCs w:val="32"/>
                              </w:rPr>
                            </w:sdtEndPr>
                            <w:sdtContent>
                              <w:r>
                                <w:rPr>
                                  <w:rFonts w:ascii="黑体" w:hAnsi="黑体" w:eastAsia="黑体"/>
                                  <w:sz w:val="32"/>
                                  <w:szCs w:val="32"/>
                                </w:rPr>
                                <w:fldChar w:fldCharType="begin"/>
                              </w:r>
                              <w:r>
                                <w:rPr>
                                  <w:rFonts w:ascii="黑体" w:hAnsi="黑体" w:eastAsia="黑体"/>
                                  <w:sz w:val="32"/>
                                  <w:szCs w:val="32"/>
                                </w:rPr>
                                <w:instrText xml:space="preserve"> PAGE   \* MERGEFORMAT </w:instrText>
                              </w:r>
                              <w:r>
                                <w:rPr>
                                  <w:rFonts w:ascii="黑体" w:hAnsi="黑体" w:eastAsia="黑体"/>
                                  <w:sz w:val="32"/>
                                  <w:szCs w:val="32"/>
                                </w:rPr>
                                <w:fldChar w:fldCharType="separate"/>
                              </w:r>
                              <w:r>
                                <w:rPr>
                                  <w:rFonts w:ascii="黑体" w:hAnsi="黑体" w:eastAsia="黑体"/>
                                  <w:sz w:val="32"/>
                                  <w:szCs w:val="32"/>
                                  <w:lang w:val="zh-CN"/>
                                </w:rPr>
                                <w:t>I</w:t>
                              </w:r>
                              <w:r>
                                <w:rPr>
                                  <w:rFonts w:ascii="黑体" w:hAnsi="黑体" w:eastAsia="黑体"/>
                                  <w:sz w:val="32"/>
                                  <w:szCs w:val="32"/>
                                </w:rPr>
                                <w:fldChar w:fldCharType="end"/>
                              </w:r>
                            </w:sdtContent>
                          </w:sdt>
                        </w:p>
                      </w:txbxContent>
                    </wps:txbx>
                    <wps:bodyPr rot="0" vert="horz" wrap="square" lIns="91440" tIns="45720" rIns="91440" bIns="45720" anchor="t" anchorCtr="0" upright="1">
                      <a:noAutofit/>
                    </wps:bodyPr>
                  </wps:wsp>
                </a:graphicData>
              </a:graphic>
            </wp:anchor>
          </w:drawing>
        </mc:Choice>
        <mc:Fallback>
          <w:pict>
            <v:rect id="Rectangle 86" o:spid="_x0000_s1026" o:spt="1" style="position:absolute;left:0pt;margin-left:418.5pt;margin-top:0.85pt;height:46.5pt;width:75pt;z-index:251659264;mso-width-relative:page;mso-height-relative:page;" fillcolor="#FFFFFF" filled="t" stroked="f" coordsize="21600,21600" o:gfxdata="UEsDBAoAAAAAAIdO4kAAAAAAAAAAAAAAAAAEAAAAZHJzL1BLAwQUAAAACACHTuJA9sRHG9YAAAAI&#10;AQAADwAAAGRycy9kb3ducmV2LnhtbE2PwU7DMBBE70j8g7VI3KhdWpI0jdMDUk/AgRaJ6zbeJlFj&#10;O8ROG/6e7YnedvRGszPFZrKdONMQWu80zGcKBLnKm9bVGr7226cMRIjoDHbekYZfCrAp7+8KzI2/&#10;uE8672ItOMSFHDU0Mfa5lKFqyGKY+Z4cs6MfLEaWQy3NgBcOt518ViqRFlvHHxrs6bWh6rQbrQZM&#10;lubn47h437+NCa7qSW1fvpXWjw9ztQYRaYr/ZrjW5+pQcqeDH50JotOQLVLeEhmkIJivsqs+8LFM&#10;QZaFvB1Q/gFQSwMEFAAAAAgAh07iQBUYUaAYAgAANQQAAA4AAABkcnMvZTJvRG9jLnhtbK1TwY7T&#10;MBC9I/EPlu80adWWbdR0tWpVhLTAioUPcBwnsXA8Zuw2Xb6esdMtZbnsgRwij2f8/N6b8fr21Bt2&#10;VOg12JJPJzlnykqotW1L/v3b/t0NZz4IWwsDVpX8SXl+u3n7Zj24Qs2gA1MrZARifTG4knchuCLL&#10;vOxUL/wEnLKUbAB7ESjENqtRDITem2yW58tsAKwdglTe0+5uTPIzIr4GEJpGS7UDeeiVDSMqKiMC&#10;SfKddp5vEtumUTJ8aRqvAjMlJ6Uh/ekSWlfxn23WomhRuE7LMwXxGgovNPVCW7r0ArUTQbAD6n+g&#10;ei0RPDRhIqHPRiHJEVIxzV9489gJp5IWstq7i+n+/8HKz8cHZLou+XzJmRU9dfwruSZsaxS7WUaD&#10;BucLqnt0DxglencP8odnFrYdlak7RBg6JWqiNY312V8HYuDpKKuGT1ATvDgESF6dGuwjILnATqkl&#10;T5eWqFNgkjZXi9kip2ZJSi1W+WKRWpaJ4vmwQx8+KOhZXJQciXsCF8d7HyIZUTyXJPJgdL3XxqQA&#10;22prkB0FTcc+fYk/abwuMzYWW4jHRsS4k1RGYaNB4VSdzl5VUD+RXoRx2uit0aID/MXZQJNWcv/z&#10;IFBxZj5a8mw1nc/jaKZgvng/owCvM9V1RlhJUCUPnI3LbRjH+eBQtx3dNE36LdyRz41OHsQejKzO&#10;vGmakjXnyY/jeh2nqj+vffM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9sRHG9YAAAAIAQAADwAA&#10;AAAAAAABACAAAAAiAAAAZHJzL2Rvd25yZXYueG1sUEsBAhQAFAAAAAgAh07iQBUYUaAYAgAANQQA&#10;AA4AAAAAAAAAAQAgAAAAJQEAAGRycy9lMm9Eb2MueG1sUEsFBgAAAAAGAAYAWQEAAK8FAAAAAA==&#10;">
              <v:fill on="t" focussize="0,0"/>
              <v:stroke on="f"/>
              <v:imagedata o:title=""/>
              <o:lock v:ext="edit" aspectratio="f"/>
              <v:textbox>
                <w:txbxContent>
                  <w:p>
                    <w:r>
                      <w:drawing>
                        <wp:inline distT="0" distB="0" distL="0" distR="0">
                          <wp:extent cx="312420" cy="327660"/>
                          <wp:effectExtent l="19050" t="0" r="0" b="0"/>
                          <wp:docPr id="82" name="图片 231" descr="1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231" descr="11111.png"/>
                                  <pic:cNvPicPr>
                                    <a:picLocks noChangeAspect="1"/>
                                  </pic:cNvPicPr>
                                </pic:nvPicPr>
                                <pic:blipFill>
                                  <a:blip r:embed="rId1"/>
                                  <a:stretch>
                                    <a:fillRect/>
                                  </a:stretch>
                                </pic:blipFill>
                                <pic:spPr>
                                  <a:xfrm>
                                    <a:off x="0" y="0"/>
                                    <a:ext cx="312420" cy="327660"/>
                                  </a:xfrm>
                                  <a:prstGeom prst="rect">
                                    <a:avLst/>
                                  </a:prstGeom>
                                </pic:spPr>
                              </pic:pic>
                            </a:graphicData>
                          </a:graphic>
                        </wp:inline>
                      </w:drawing>
                    </w:r>
                    <w:r>
                      <w:rPr>
                        <w:rFonts w:ascii="黑体" w:hAnsi="黑体" w:eastAsia="黑体"/>
                        <w:sz w:val="32"/>
                        <w:szCs w:val="32"/>
                      </w:rPr>
                      <w:t xml:space="preserve"> </w:t>
                    </w:r>
                    <w:sdt>
                      <w:sdtPr>
                        <w:rPr>
                          <w:rFonts w:ascii="黑体" w:hAnsi="黑体" w:eastAsia="黑体"/>
                          <w:sz w:val="32"/>
                          <w:szCs w:val="32"/>
                        </w:rPr>
                        <w:id w:val="11586261"/>
                      </w:sdtPr>
                      <w:sdtEndPr>
                        <w:rPr>
                          <w:rFonts w:ascii="黑体" w:hAnsi="黑体" w:eastAsia="黑体"/>
                          <w:sz w:val="32"/>
                          <w:szCs w:val="32"/>
                        </w:rPr>
                      </w:sdtEndPr>
                      <w:sdtContent>
                        <w:r>
                          <w:rPr>
                            <w:rFonts w:ascii="黑体" w:hAnsi="黑体" w:eastAsia="黑体"/>
                            <w:sz w:val="32"/>
                            <w:szCs w:val="32"/>
                          </w:rPr>
                          <w:fldChar w:fldCharType="begin"/>
                        </w:r>
                        <w:r>
                          <w:rPr>
                            <w:rFonts w:ascii="黑体" w:hAnsi="黑体" w:eastAsia="黑体"/>
                            <w:sz w:val="32"/>
                            <w:szCs w:val="32"/>
                          </w:rPr>
                          <w:instrText xml:space="preserve"> PAGE   \* MERGEFORMAT </w:instrText>
                        </w:r>
                        <w:r>
                          <w:rPr>
                            <w:rFonts w:ascii="黑体" w:hAnsi="黑体" w:eastAsia="黑体"/>
                            <w:sz w:val="32"/>
                            <w:szCs w:val="32"/>
                          </w:rPr>
                          <w:fldChar w:fldCharType="separate"/>
                        </w:r>
                        <w:r>
                          <w:rPr>
                            <w:rFonts w:ascii="黑体" w:hAnsi="黑体" w:eastAsia="黑体"/>
                            <w:sz w:val="32"/>
                            <w:szCs w:val="32"/>
                            <w:lang w:val="zh-CN"/>
                          </w:rPr>
                          <w:t>I</w:t>
                        </w:r>
                        <w:r>
                          <w:rPr>
                            <w:rFonts w:ascii="黑体" w:hAnsi="黑体" w:eastAsia="黑体"/>
                            <w:sz w:val="32"/>
                            <w:szCs w:val="32"/>
                          </w:rPr>
                          <w:fldChar w:fldCharType="end"/>
                        </w:r>
                      </w:sdtContent>
                    </w:sdt>
                  </w:p>
                </w:txbxContent>
              </v:textbox>
            </v:rect>
          </w:pict>
        </mc:Fallback>
      </mc:AlternateContent>
    </w:r>
    <w:r>
      <w:rPr>
        <w:rFonts w:hint="eastAsia" w:ascii="黑体" w:hAnsi="黑体" w:eastAsia="黑体"/>
      </w:rPr>
      <w:t>2016年中国青少年上网行为研究报告</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3220100"/>
    </w:sdtPr>
    <w:sdtContent>
      <w:p>
        <w:pPr>
          <w:pStyle w:val="19"/>
          <w:jc w:val="center"/>
        </w:pPr>
        <w:r>
          <w:fldChar w:fldCharType="begin"/>
        </w:r>
        <w:r>
          <w:instrText xml:space="preserve">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8">
    <w:p>
      <w:pPr>
        <w:spacing w:line="360" w:lineRule="auto"/>
      </w:pPr>
      <w:r>
        <w:separator/>
      </w:r>
    </w:p>
  </w:footnote>
  <w:footnote w:type="continuationSeparator" w:id="9">
    <w:p>
      <w:pPr>
        <w:spacing w:line="360" w:lineRule="auto"/>
      </w:pPr>
      <w:r>
        <w:continuationSeparator/>
      </w:r>
    </w:p>
  </w:footnote>
  <w:footnote w:id="0">
    <w:p>
      <w:pPr>
        <w:pStyle w:val="23"/>
        <w:rPr>
          <w:rFonts w:eastAsia="方正楷体_GBK"/>
          <w:spacing w:val="-6"/>
        </w:rPr>
      </w:pPr>
      <w:r>
        <w:rPr>
          <w:rStyle w:val="41"/>
          <w:rFonts w:eastAsia="方正楷体_GBK"/>
          <w:spacing w:val="-6"/>
        </w:rPr>
        <w:footnoteRef/>
      </w:r>
      <w:r>
        <w:rPr>
          <w:rFonts w:eastAsia="方正楷体_GBK"/>
          <w:spacing w:val="-6"/>
        </w:rPr>
        <w:t xml:space="preserve"> </w:t>
      </w:r>
      <w:r>
        <w:rPr>
          <w:rFonts w:hint="eastAsia" w:eastAsia="方正楷体_GBK"/>
          <w:spacing w:val="-6"/>
        </w:rPr>
        <w:t>本次调查对象为18岁以下小学、初中、高中、职高、中专、技校在校学生，不包括6岁以下群体和非学生样本。</w:t>
      </w:r>
    </w:p>
  </w:footnote>
  <w:footnote w:id="1">
    <w:p>
      <w:pPr>
        <w:pStyle w:val="23"/>
        <w:rPr>
          <w:rFonts w:eastAsia="方正楷体_GBK"/>
          <w:spacing w:val="-6"/>
        </w:rPr>
      </w:pPr>
      <w:r>
        <w:rPr>
          <w:rStyle w:val="41"/>
          <w:rFonts w:eastAsia="方正楷体_GBK"/>
          <w:spacing w:val="-6"/>
        </w:rPr>
        <w:footnoteRef/>
      </w:r>
      <w:r>
        <w:rPr>
          <w:rFonts w:eastAsia="方正楷体_GBK"/>
          <w:spacing w:val="-6"/>
        </w:rPr>
        <w:t xml:space="preserve"> </w:t>
      </w:r>
      <w:r>
        <w:rPr>
          <w:rFonts w:hint="eastAsia" w:eastAsia="方正楷体_GBK"/>
          <w:spacing w:val="-6"/>
        </w:rPr>
        <w:t>根据国家统计局《中国统计年鉴20</w:t>
      </w:r>
      <w:r>
        <w:rPr>
          <w:rFonts w:eastAsia="方正楷体_GBK"/>
          <w:spacing w:val="-6"/>
        </w:rPr>
        <w:t>21</w:t>
      </w:r>
      <w:r>
        <w:rPr>
          <w:rFonts w:hint="eastAsia" w:eastAsia="方正楷体_GBK"/>
          <w:spacing w:val="-6"/>
        </w:rPr>
        <w:t>》数据，全国普通小学、初中、普通高中和中等职业教育（不包含成人教育）人口共1.</w:t>
      </w:r>
      <w:r>
        <w:rPr>
          <w:rFonts w:eastAsia="方正楷体_GBK"/>
          <w:spacing w:val="-6"/>
        </w:rPr>
        <w:t>97</w:t>
      </w:r>
      <w:r>
        <w:rPr>
          <w:rFonts w:hint="eastAsia" w:eastAsia="方正楷体_GBK"/>
          <w:spacing w:val="-6"/>
        </w:rPr>
        <w:t>亿。</w:t>
      </w:r>
    </w:p>
  </w:footnote>
  <w:footnote w:id="2">
    <w:p>
      <w:pPr>
        <w:pStyle w:val="23"/>
        <w:rPr>
          <w:rFonts w:eastAsia="方正楷体_GBK"/>
          <w:spacing w:val="-6"/>
          <w:highlight w:val="yellow"/>
        </w:rPr>
      </w:pPr>
      <w:r>
        <w:rPr>
          <w:rStyle w:val="41"/>
          <w:rFonts w:eastAsia="方正楷体_GBK"/>
          <w:spacing w:val="-6"/>
        </w:rPr>
        <w:footnoteRef/>
      </w:r>
      <w:r>
        <w:t xml:space="preserve"> </w:t>
      </w:r>
      <w:r>
        <w:rPr>
          <w:rFonts w:hint="eastAsia" w:eastAsia="方正楷体_GBK"/>
          <w:spacing w:val="-6"/>
        </w:rPr>
        <w:t>本报告所有表述为在“未成年网民中”的比例，均以未成年网民规模1.91亿为基数。</w:t>
      </w:r>
    </w:p>
  </w:footnote>
  <w:footnote w:id="3">
    <w:p>
      <w:pPr>
        <w:pStyle w:val="23"/>
        <w:rPr>
          <w:rFonts w:eastAsia="方正楷体_GBK"/>
          <w:spacing w:val="-6"/>
        </w:rPr>
      </w:pPr>
      <w:r>
        <w:rPr>
          <w:rStyle w:val="41"/>
          <w:rFonts w:eastAsia="方正楷体_GBK"/>
          <w:spacing w:val="-6"/>
        </w:rPr>
        <w:footnoteRef/>
      </w:r>
      <w:r>
        <w:rPr>
          <w:rFonts w:eastAsia="方正楷体_GBK"/>
          <w:spacing w:val="-6"/>
        </w:rPr>
        <w:t xml:space="preserve"> </w:t>
      </w:r>
      <w:r>
        <w:rPr>
          <w:rFonts w:hint="eastAsia" w:eastAsia="方正楷体_GBK"/>
          <w:spacing w:val="-6"/>
        </w:rPr>
        <w:t>此处的网上学习具体包括利用互联网做作业、复习、背单词、在线答疑、网上课程学习等。</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spacing w:line="240" w:lineRule="auto"/>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spacing w:line="240" w:lineRule="auto"/>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1"/>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spacing w:line="240" w:lineRule="auto"/>
      <w:jc w:val="right"/>
    </w:pPr>
    <w:r>
      <w:drawing>
        <wp:inline distT="0" distB="0" distL="0" distR="0">
          <wp:extent cx="2137410" cy="174625"/>
          <wp:effectExtent l="19050" t="0" r="0" b="0"/>
          <wp:docPr id="80" name="图片 1" descr="QQ图片201601151457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1" descr="QQ图片20160115145729.png"/>
                  <pic:cNvPicPr>
                    <a:picLocks noChangeAspect="1"/>
                  </pic:cNvPicPr>
                </pic:nvPicPr>
                <pic:blipFill>
                  <a:blip r:embed="rId1"/>
                  <a:stretch>
                    <a:fillRect/>
                  </a:stretch>
                </pic:blipFill>
                <pic:spPr>
                  <a:xfrm>
                    <a:off x="0" y="0"/>
                    <a:ext cx="2150792" cy="176082"/>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38AF4F"/>
    <w:multiLevelType w:val="singleLevel"/>
    <w:tmpl w:val="4138AF4F"/>
    <w:lvl w:ilvl="0" w:tentative="0">
      <w:start w:val="3"/>
      <w:numFmt w:val="decimal"/>
      <w:suff w:val="space"/>
      <w:lvlText w:val="%1."/>
      <w:lvlJc w:val="left"/>
    </w:lvl>
  </w:abstractNum>
  <w:abstractNum w:abstractNumId="1">
    <w:nsid w:val="70703E97"/>
    <w:multiLevelType w:val="multilevel"/>
    <w:tmpl w:val="70703E97"/>
    <w:lvl w:ilvl="0" w:tentative="0">
      <w:start w:val="1"/>
      <w:numFmt w:val="bullet"/>
      <w:lvlText w:val="◇"/>
      <w:lvlJc w:val="left"/>
      <w:pPr>
        <w:tabs>
          <w:tab w:val="left" w:pos="420"/>
        </w:tabs>
        <w:ind w:left="840" w:hanging="420"/>
      </w:pPr>
      <w:rPr>
        <w:rFonts w:hint="eastAsia" w:ascii="宋体" w:hAnsi="宋体" w:eastAsia="宋体"/>
        <w:lang w:val="en-US"/>
      </w:rPr>
    </w:lvl>
    <w:lvl w:ilvl="1" w:tentative="0">
      <w:start w:val="1"/>
      <w:numFmt w:val="bullet"/>
      <w:lvlText w:val=""/>
      <w:lvlJc w:val="left"/>
      <w:pPr>
        <w:tabs>
          <w:tab w:val="left" w:pos="420"/>
        </w:tabs>
        <w:ind w:left="1260" w:hanging="420"/>
      </w:pPr>
      <w:rPr>
        <w:rFonts w:hint="default" w:ascii="Wingdings" w:hAnsi="Wingdings"/>
      </w:rPr>
    </w:lvl>
    <w:lvl w:ilvl="2" w:tentative="0">
      <w:start w:val="1"/>
      <w:numFmt w:val="bullet"/>
      <w:lvlText w:val=""/>
      <w:lvlJc w:val="left"/>
      <w:pPr>
        <w:tabs>
          <w:tab w:val="left" w:pos="420"/>
        </w:tabs>
        <w:ind w:left="1680" w:hanging="420"/>
      </w:pPr>
      <w:rPr>
        <w:rFonts w:hint="default" w:ascii="Wingdings" w:hAnsi="Wingdings"/>
      </w:rPr>
    </w:lvl>
    <w:lvl w:ilvl="3" w:tentative="0">
      <w:start w:val="1"/>
      <w:numFmt w:val="bullet"/>
      <w:lvlText w:val=""/>
      <w:lvlJc w:val="left"/>
      <w:pPr>
        <w:tabs>
          <w:tab w:val="left" w:pos="420"/>
        </w:tabs>
        <w:ind w:left="2100" w:hanging="420"/>
      </w:pPr>
      <w:rPr>
        <w:rFonts w:hint="default" w:ascii="Wingdings" w:hAnsi="Wingdings"/>
      </w:rPr>
    </w:lvl>
    <w:lvl w:ilvl="4" w:tentative="0">
      <w:start w:val="1"/>
      <w:numFmt w:val="bullet"/>
      <w:lvlText w:val=""/>
      <w:lvlJc w:val="left"/>
      <w:pPr>
        <w:tabs>
          <w:tab w:val="left" w:pos="420"/>
        </w:tabs>
        <w:ind w:left="2520" w:hanging="420"/>
      </w:pPr>
      <w:rPr>
        <w:rFonts w:hint="default" w:ascii="Wingdings" w:hAnsi="Wingdings"/>
      </w:rPr>
    </w:lvl>
    <w:lvl w:ilvl="5" w:tentative="0">
      <w:start w:val="1"/>
      <w:numFmt w:val="bullet"/>
      <w:lvlText w:val=""/>
      <w:lvlJc w:val="left"/>
      <w:pPr>
        <w:tabs>
          <w:tab w:val="left" w:pos="420"/>
        </w:tabs>
        <w:ind w:left="2940" w:hanging="420"/>
      </w:pPr>
      <w:rPr>
        <w:rFonts w:hint="default" w:ascii="Wingdings" w:hAnsi="Wingdings"/>
      </w:rPr>
    </w:lvl>
    <w:lvl w:ilvl="6" w:tentative="0">
      <w:start w:val="1"/>
      <w:numFmt w:val="bullet"/>
      <w:lvlText w:val=""/>
      <w:lvlJc w:val="left"/>
      <w:pPr>
        <w:tabs>
          <w:tab w:val="left" w:pos="420"/>
        </w:tabs>
        <w:ind w:left="3360" w:hanging="420"/>
      </w:pPr>
      <w:rPr>
        <w:rFonts w:hint="default" w:ascii="Wingdings" w:hAnsi="Wingdings"/>
      </w:rPr>
    </w:lvl>
    <w:lvl w:ilvl="7" w:tentative="0">
      <w:start w:val="1"/>
      <w:numFmt w:val="bullet"/>
      <w:lvlText w:val=""/>
      <w:lvlJc w:val="left"/>
      <w:pPr>
        <w:tabs>
          <w:tab w:val="left" w:pos="420"/>
        </w:tabs>
        <w:ind w:left="3780" w:hanging="420"/>
      </w:pPr>
      <w:rPr>
        <w:rFonts w:hint="default" w:ascii="Wingdings" w:hAnsi="Wingdings"/>
      </w:rPr>
    </w:lvl>
    <w:lvl w:ilvl="8" w:tentative="0">
      <w:start w:val="1"/>
      <w:numFmt w:val="bullet"/>
      <w:lvlText w:val=""/>
      <w:lvlJc w:val="left"/>
      <w:pPr>
        <w:tabs>
          <w:tab w:val="left" w:pos="420"/>
        </w:tabs>
        <w:ind w:left="420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8"/>
    <w:footnote w:id="9"/>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IzNjhjZjkxMjg2OGJjOTQ0NThhNzBhOGI4YTVmYWYifQ=="/>
    <w:docVar w:name="KSO_WPS_MARK_KEY" w:val="686c7be2-c0cf-4c40-9fd8-651ceb03da91"/>
  </w:docVars>
  <w:rsids>
    <w:rsidRoot w:val="00E62325"/>
    <w:rsid w:val="00000506"/>
    <w:rsid w:val="00000B59"/>
    <w:rsid w:val="00000BA9"/>
    <w:rsid w:val="00000D6C"/>
    <w:rsid w:val="00001A9B"/>
    <w:rsid w:val="00001ACF"/>
    <w:rsid w:val="0000265B"/>
    <w:rsid w:val="00002BE8"/>
    <w:rsid w:val="00002E7B"/>
    <w:rsid w:val="000030C6"/>
    <w:rsid w:val="000034BF"/>
    <w:rsid w:val="00003921"/>
    <w:rsid w:val="00003D84"/>
    <w:rsid w:val="00003DFC"/>
    <w:rsid w:val="00004B16"/>
    <w:rsid w:val="00004F80"/>
    <w:rsid w:val="00005721"/>
    <w:rsid w:val="0000589F"/>
    <w:rsid w:val="000066D7"/>
    <w:rsid w:val="00006C50"/>
    <w:rsid w:val="00006F87"/>
    <w:rsid w:val="00007048"/>
    <w:rsid w:val="000070A7"/>
    <w:rsid w:val="00010345"/>
    <w:rsid w:val="00010655"/>
    <w:rsid w:val="000109DF"/>
    <w:rsid w:val="000115E4"/>
    <w:rsid w:val="00011B1F"/>
    <w:rsid w:val="00012167"/>
    <w:rsid w:val="00012515"/>
    <w:rsid w:val="00012DB1"/>
    <w:rsid w:val="00012EAB"/>
    <w:rsid w:val="00013050"/>
    <w:rsid w:val="0001314F"/>
    <w:rsid w:val="000136AA"/>
    <w:rsid w:val="00013A04"/>
    <w:rsid w:val="00013D4A"/>
    <w:rsid w:val="0001438B"/>
    <w:rsid w:val="000145BB"/>
    <w:rsid w:val="0001485F"/>
    <w:rsid w:val="00014C93"/>
    <w:rsid w:val="000150D0"/>
    <w:rsid w:val="00015464"/>
    <w:rsid w:val="0001556E"/>
    <w:rsid w:val="0001559A"/>
    <w:rsid w:val="000169FD"/>
    <w:rsid w:val="00017805"/>
    <w:rsid w:val="000203C2"/>
    <w:rsid w:val="000204D3"/>
    <w:rsid w:val="000218CE"/>
    <w:rsid w:val="00021A77"/>
    <w:rsid w:val="000228B6"/>
    <w:rsid w:val="00022C90"/>
    <w:rsid w:val="00023113"/>
    <w:rsid w:val="000232EA"/>
    <w:rsid w:val="0002362E"/>
    <w:rsid w:val="00023778"/>
    <w:rsid w:val="00023BDD"/>
    <w:rsid w:val="00023EF1"/>
    <w:rsid w:val="00024319"/>
    <w:rsid w:val="000250BE"/>
    <w:rsid w:val="00025BDD"/>
    <w:rsid w:val="00025CA6"/>
    <w:rsid w:val="000261D1"/>
    <w:rsid w:val="000263BE"/>
    <w:rsid w:val="00026415"/>
    <w:rsid w:val="00026940"/>
    <w:rsid w:val="00026A1F"/>
    <w:rsid w:val="00026A63"/>
    <w:rsid w:val="00026C88"/>
    <w:rsid w:val="00026E31"/>
    <w:rsid w:val="00027431"/>
    <w:rsid w:val="000276B5"/>
    <w:rsid w:val="00027B9A"/>
    <w:rsid w:val="00027D26"/>
    <w:rsid w:val="0003023B"/>
    <w:rsid w:val="00030653"/>
    <w:rsid w:val="00030CCF"/>
    <w:rsid w:val="00030FD6"/>
    <w:rsid w:val="00030FFE"/>
    <w:rsid w:val="00031035"/>
    <w:rsid w:val="0003183D"/>
    <w:rsid w:val="00032AE0"/>
    <w:rsid w:val="00032F76"/>
    <w:rsid w:val="00033841"/>
    <w:rsid w:val="00033F3B"/>
    <w:rsid w:val="00033F42"/>
    <w:rsid w:val="00034658"/>
    <w:rsid w:val="000357A3"/>
    <w:rsid w:val="00036427"/>
    <w:rsid w:val="00036755"/>
    <w:rsid w:val="00036CCC"/>
    <w:rsid w:val="00037947"/>
    <w:rsid w:val="00037FA0"/>
    <w:rsid w:val="00040123"/>
    <w:rsid w:val="0004035C"/>
    <w:rsid w:val="0004195C"/>
    <w:rsid w:val="00041B4C"/>
    <w:rsid w:val="00041F24"/>
    <w:rsid w:val="00042038"/>
    <w:rsid w:val="00042382"/>
    <w:rsid w:val="000436A7"/>
    <w:rsid w:val="00044585"/>
    <w:rsid w:val="000445F8"/>
    <w:rsid w:val="00044C18"/>
    <w:rsid w:val="00046527"/>
    <w:rsid w:val="00046FC2"/>
    <w:rsid w:val="000472E7"/>
    <w:rsid w:val="000475C8"/>
    <w:rsid w:val="00047812"/>
    <w:rsid w:val="000479C2"/>
    <w:rsid w:val="00047AD4"/>
    <w:rsid w:val="00047B09"/>
    <w:rsid w:val="00047B6C"/>
    <w:rsid w:val="00047C6E"/>
    <w:rsid w:val="00050B77"/>
    <w:rsid w:val="00050D12"/>
    <w:rsid w:val="00050E0E"/>
    <w:rsid w:val="00051149"/>
    <w:rsid w:val="000517BC"/>
    <w:rsid w:val="00051BD6"/>
    <w:rsid w:val="000521A2"/>
    <w:rsid w:val="00052D86"/>
    <w:rsid w:val="00053328"/>
    <w:rsid w:val="00053D0F"/>
    <w:rsid w:val="000540CF"/>
    <w:rsid w:val="00054372"/>
    <w:rsid w:val="0005468A"/>
    <w:rsid w:val="00054EAB"/>
    <w:rsid w:val="0005518A"/>
    <w:rsid w:val="00055444"/>
    <w:rsid w:val="00055703"/>
    <w:rsid w:val="00056ECE"/>
    <w:rsid w:val="00057965"/>
    <w:rsid w:val="00060777"/>
    <w:rsid w:val="00060FF2"/>
    <w:rsid w:val="0006102C"/>
    <w:rsid w:val="000618AB"/>
    <w:rsid w:val="00061B35"/>
    <w:rsid w:val="00062148"/>
    <w:rsid w:val="000621C7"/>
    <w:rsid w:val="0006283F"/>
    <w:rsid w:val="00063760"/>
    <w:rsid w:val="0006377B"/>
    <w:rsid w:val="00064121"/>
    <w:rsid w:val="00064C43"/>
    <w:rsid w:val="00064C5D"/>
    <w:rsid w:val="0006554D"/>
    <w:rsid w:val="00066577"/>
    <w:rsid w:val="00066D2F"/>
    <w:rsid w:val="00066E2D"/>
    <w:rsid w:val="00067064"/>
    <w:rsid w:val="0006715A"/>
    <w:rsid w:val="00070015"/>
    <w:rsid w:val="0007082D"/>
    <w:rsid w:val="00070A1E"/>
    <w:rsid w:val="00070C87"/>
    <w:rsid w:val="000710F4"/>
    <w:rsid w:val="000711B9"/>
    <w:rsid w:val="000711F9"/>
    <w:rsid w:val="000713F9"/>
    <w:rsid w:val="00072AB6"/>
    <w:rsid w:val="0007374B"/>
    <w:rsid w:val="0007418A"/>
    <w:rsid w:val="00074202"/>
    <w:rsid w:val="000742D4"/>
    <w:rsid w:val="00074402"/>
    <w:rsid w:val="00074877"/>
    <w:rsid w:val="00074A40"/>
    <w:rsid w:val="00074FFD"/>
    <w:rsid w:val="00075D21"/>
    <w:rsid w:val="00076269"/>
    <w:rsid w:val="00076297"/>
    <w:rsid w:val="0007637A"/>
    <w:rsid w:val="00076689"/>
    <w:rsid w:val="00076975"/>
    <w:rsid w:val="00077890"/>
    <w:rsid w:val="0007797C"/>
    <w:rsid w:val="00077E7E"/>
    <w:rsid w:val="00081318"/>
    <w:rsid w:val="00081339"/>
    <w:rsid w:val="00082468"/>
    <w:rsid w:val="00082523"/>
    <w:rsid w:val="00082678"/>
    <w:rsid w:val="000826D8"/>
    <w:rsid w:val="00082C4B"/>
    <w:rsid w:val="000831DF"/>
    <w:rsid w:val="0008336C"/>
    <w:rsid w:val="0008342A"/>
    <w:rsid w:val="00083D2A"/>
    <w:rsid w:val="000847AF"/>
    <w:rsid w:val="00084931"/>
    <w:rsid w:val="0008493C"/>
    <w:rsid w:val="000855A8"/>
    <w:rsid w:val="000856E2"/>
    <w:rsid w:val="000857B7"/>
    <w:rsid w:val="00085A90"/>
    <w:rsid w:val="00085B68"/>
    <w:rsid w:val="000861B6"/>
    <w:rsid w:val="00086595"/>
    <w:rsid w:val="000877F6"/>
    <w:rsid w:val="00087E96"/>
    <w:rsid w:val="000904BC"/>
    <w:rsid w:val="00090E5A"/>
    <w:rsid w:val="00091088"/>
    <w:rsid w:val="0009112D"/>
    <w:rsid w:val="000918A5"/>
    <w:rsid w:val="000926A7"/>
    <w:rsid w:val="000928EA"/>
    <w:rsid w:val="00092B73"/>
    <w:rsid w:val="00092FBF"/>
    <w:rsid w:val="00093173"/>
    <w:rsid w:val="00093899"/>
    <w:rsid w:val="000940D3"/>
    <w:rsid w:val="00094342"/>
    <w:rsid w:val="00094670"/>
    <w:rsid w:val="0009480A"/>
    <w:rsid w:val="00094CB8"/>
    <w:rsid w:val="00094E2E"/>
    <w:rsid w:val="00095195"/>
    <w:rsid w:val="0009559A"/>
    <w:rsid w:val="00095C11"/>
    <w:rsid w:val="00095FF8"/>
    <w:rsid w:val="000962F9"/>
    <w:rsid w:val="0009694B"/>
    <w:rsid w:val="00096DF1"/>
    <w:rsid w:val="000973B0"/>
    <w:rsid w:val="00097A71"/>
    <w:rsid w:val="00097E5F"/>
    <w:rsid w:val="000A0090"/>
    <w:rsid w:val="000A020F"/>
    <w:rsid w:val="000A05A4"/>
    <w:rsid w:val="000A05E9"/>
    <w:rsid w:val="000A0BC9"/>
    <w:rsid w:val="000A0D0F"/>
    <w:rsid w:val="000A2027"/>
    <w:rsid w:val="000A2663"/>
    <w:rsid w:val="000A2A6D"/>
    <w:rsid w:val="000A2F3C"/>
    <w:rsid w:val="000A3413"/>
    <w:rsid w:val="000A35E0"/>
    <w:rsid w:val="000A368F"/>
    <w:rsid w:val="000A36B2"/>
    <w:rsid w:val="000A42EB"/>
    <w:rsid w:val="000A57F0"/>
    <w:rsid w:val="000A5FD4"/>
    <w:rsid w:val="000A600E"/>
    <w:rsid w:val="000A6065"/>
    <w:rsid w:val="000A6180"/>
    <w:rsid w:val="000A6961"/>
    <w:rsid w:val="000A791B"/>
    <w:rsid w:val="000A7E79"/>
    <w:rsid w:val="000B08B9"/>
    <w:rsid w:val="000B0A91"/>
    <w:rsid w:val="000B0E89"/>
    <w:rsid w:val="000B0F22"/>
    <w:rsid w:val="000B0FD6"/>
    <w:rsid w:val="000B12B8"/>
    <w:rsid w:val="000B16FD"/>
    <w:rsid w:val="000B1884"/>
    <w:rsid w:val="000B198E"/>
    <w:rsid w:val="000B19C8"/>
    <w:rsid w:val="000B1B56"/>
    <w:rsid w:val="000B1EE7"/>
    <w:rsid w:val="000B2357"/>
    <w:rsid w:val="000B285E"/>
    <w:rsid w:val="000B2AB0"/>
    <w:rsid w:val="000B2DCB"/>
    <w:rsid w:val="000B2FF1"/>
    <w:rsid w:val="000B3855"/>
    <w:rsid w:val="000B40E4"/>
    <w:rsid w:val="000B4101"/>
    <w:rsid w:val="000B4138"/>
    <w:rsid w:val="000B44E3"/>
    <w:rsid w:val="000B4583"/>
    <w:rsid w:val="000B50DD"/>
    <w:rsid w:val="000B58CC"/>
    <w:rsid w:val="000B5F8A"/>
    <w:rsid w:val="000B6864"/>
    <w:rsid w:val="000B6B84"/>
    <w:rsid w:val="000B6C8C"/>
    <w:rsid w:val="000B7EA0"/>
    <w:rsid w:val="000C0332"/>
    <w:rsid w:val="000C05BF"/>
    <w:rsid w:val="000C06DC"/>
    <w:rsid w:val="000C1789"/>
    <w:rsid w:val="000C2501"/>
    <w:rsid w:val="000C29C8"/>
    <w:rsid w:val="000C5042"/>
    <w:rsid w:val="000C5056"/>
    <w:rsid w:val="000C56A6"/>
    <w:rsid w:val="000C5763"/>
    <w:rsid w:val="000C5ADD"/>
    <w:rsid w:val="000C5C60"/>
    <w:rsid w:val="000C5CCA"/>
    <w:rsid w:val="000C6D0E"/>
    <w:rsid w:val="000C72D1"/>
    <w:rsid w:val="000C7502"/>
    <w:rsid w:val="000C7551"/>
    <w:rsid w:val="000C76A9"/>
    <w:rsid w:val="000D0B4D"/>
    <w:rsid w:val="000D0BBA"/>
    <w:rsid w:val="000D1591"/>
    <w:rsid w:val="000D161D"/>
    <w:rsid w:val="000D188C"/>
    <w:rsid w:val="000D25C5"/>
    <w:rsid w:val="000D3103"/>
    <w:rsid w:val="000D35CA"/>
    <w:rsid w:val="000D3674"/>
    <w:rsid w:val="000D4501"/>
    <w:rsid w:val="000D549F"/>
    <w:rsid w:val="000D590F"/>
    <w:rsid w:val="000D5AD7"/>
    <w:rsid w:val="000D5FFB"/>
    <w:rsid w:val="000D624D"/>
    <w:rsid w:val="000D6666"/>
    <w:rsid w:val="000D678A"/>
    <w:rsid w:val="000D6BE2"/>
    <w:rsid w:val="000D7185"/>
    <w:rsid w:val="000D75F6"/>
    <w:rsid w:val="000E1457"/>
    <w:rsid w:val="000E2AA9"/>
    <w:rsid w:val="000E333A"/>
    <w:rsid w:val="000E3ACD"/>
    <w:rsid w:val="000E3F65"/>
    <w:rsid w:val="000E444C"/>
    <w:rsid w:val="000E4503"/>
    <w:rsid w:val="000E47AB"/>
    <w:rsid w:val="000E4BDB"/>
    <w:rsid w:val="000E4C16"/>
    <w:rsid w:val="000E5951"/>
    <w:rsid w:val="000E5EFB"/>
    <w:rsid w:val="000E6602"/>
    <w:rsid w:val="000E685F"/>
    <w:rsid w:val="000E78FC"/>
    <w:rsid w:val="000E7E48"/>
    <w:rsid w:val="000E7E52"/>
    <w:rsid w:val="000E7FBF"/>
    <w:rsid w:val="000F0B7B"/>
    <w:rsid w:val="000F0CD7"/>
    <w:rsid w:val="000F12B0"/>
    <w:rsid w:val="000F15A8"/>
    <w:rsid w:val="000F21CD"/>
    <w:rsid w:val="000F22C7"/>
    <w:rsid w:val="000F28CE"/>
    <w:rsid w:val="000F2E69"/>
    <w:rsid w:val="000F43B4"/>
    <w:rsid w:val="000F478E"/>
    <w:rsid w:val="000F4803"/>
    <w:rsid w:val="000F4B7C"/>
    <w:rsid w:val="000F4CAE"/>
    <w:rsid w:val="000F638A"/>
    <w:rsid w:val="000F65B3"/>
    <w:rsid w:val="000F662D"/>
    <w:rsid w:val="000F6819"/>
    <w:rsid w:val="000F68D9"/>
    <w:rsid w:val="000F7205"/>
    <w:rsid w:val="000F7520"/>
    <w:rsid w:val="000F7CEE"/>
    <w:rsid w:val="000F7E28"/>
    <w:rsid w:val="00100964"/>
    <w:rsid w:val="00100B54"/>
    <w:rsid w:val="0010109A"/>
    <w:rsid w:val="00101CD5"/>
    <w:rsid w:val="00102221"/>
    <w:rsid w:val="00102356"/>
    <w:rsid w:val="00102519"/>
    <w:rsid w:val="00102604"/>
    <w:rsid w:val="001031EB"/>
    <w:rsid w:val="00103309"/>
    <w:rsid w:val="00103448"/>
    <w:rsid w:val="001037C3"/>
    <w:rsid w:val="00103884"/>
    <w:rsid w:val="00103A31"/>
    <w:rsid w:val="00104802"/>
    <w:rsid w:val="0010493B"/>
    <w:rsid w:val="00104A8F"/>
    <w:rsid w:val="00104B70"/>
    <w:rsid w:val="0010513A"/>
    <w:rsid w:val="00105B61"/>
    <w:rsid w:val="00105E68"/>
    <w:rsid w:val="00106090"/>
    <w:rsid w:val="001062BE"/>
    <w:rsid w:val="00106406"/>
    <w:rsid w:val="00107733"/>
    <w:rsid w:val="001100B8"/>
    <w:rsid w:val="0011054F"/>
    <w:rsid w:val="00110FB4"/>
    <w:rsid w:val="001118AA"/>
    <w:rsid w:val="00111936"/>
    <w:rsid w:val="0011214D"/>
    <w:rsid w:val="001122D6"/>
    <w:rsid w:val="001129C7"/>
    <w:rsid w:val="00112A35"/>
    <w:rsid w:val="0011309C"/>
    <w:rsid w:val="001130A2"/>
    <w:rsid w:val="00113155"/>
    <w:rsid w:val="00113203"/>
    <w:rsid w:val="00113E26"/>
    <w:rsid w:val="00114158"/>
    <w:rsid w:val="0011435A"/>
    <w:rsid w:val="0011440D"/>
    <w:rsid w:val="00114AB6"/>
    <w:rsid w:val="00114CF5"/>
    <w:rsid w:val="00115437"/>
    <w:rsid w:val="00115793"/>
    <w:rsid w:val="001159AC"/>
    <w:rsid w:val="00116492"/>
    <w:rsid w:val="00116B80"/>
    <w:rsid w:val="00116C0E"/>
    <w:rsid w:val="0011719F"/>
    <w:rsid w:val="001176F1"/>
    <w:rsid w:val="001179EC"/>
    <w:rsid w:val="001179F1"/>
    <w:rsid w:val="00117E75"/>
    <w:rsid w:val="001210DB"/>
    <w:rsid w:val="001215D4"/>
    <w:rsid w:val="00121762"/>
    <w:rsid w:val="001219B4"/>
    <w:rsid w:val="00121ED3"/>
    <w:rsid w:val="0012210A"/>
    <w:rsid w:val="00122BC9"/>
    <w:rsid w:val="00122C27"/>
    <w:rsid w:val="00122F79"/>
    <w:rsid w:val="00123331"/>
    <w:rsid w:val="001233C6"/>
    <w:rsid w:val="00123BC2"/>
    <w:rsid w:val="00123E86"/>
    <w:rsid w:val="0012429F"/>
    <w:rsid w:val="001246A8"/>
    <w:rsid w:val="001248EB"/>
    <w:rsid w:val="00124AEB"/>
    <w:rsid w:val="00124AFE"/>
    <w:rsid w:val="001252A3"/>
    <w:rsid w:val="0012564D"/>
    <w:rsid w:val="001264AD"/>
    <w:rsid w:val="00126873"/>
    <w:rsid w:val="00126933"/>
    <w:rsid w:val="0012710E"/>
    <w:rsid w:val="00127FC3"/>
    <w:rsid w:val="001309C7"/>
    <w:rsid w:val="00130ACC"/>
    <w:rsid w:val="00131325"/>
    <w:rsid w:val="0013151A"/>
    <w:rsid w:val="00131A8A"/>
    <w:rsid w:val="00131ACE"/>
    <w:rsid w:val="00131D07"/>
    <w:rsid w:val="00131D12"/>
    <w:rsid w:val="001320B5"/>
    <w:rsid w:val="00132251"/>
    <w:rsid w:val="001337FC"/>
    <w:rsid w:val="00133E5A"/>
    <w:rsid w:val="00133EE7"/>
    <w:rsid w:val="00134495"/>
    <w:rsid w:val="001349BE"/>
    <w:rsid w:val="00135C11"/>
    <w:rsid w:val="001363D6"/>
    <w:rsid w:val="001363DE"/>
    <w:rsid w:val="0013655F"/>
    <w:rsid w:val="001366F4"/>
    <w:rsid w:val="001367BC"/>
    <w:rsid w:val="0013747B"/>
    <w:rsid w:val="001378B8"/>
    <w:rsid w:val="00137A1D"/>
    <w:rsid w:val="0014036C"/>
    <w:rsid w:val="00140E34"/>
    <w:rsid w:val="00140E5E"/>
    <w:rsid w:val="00141AAC"/>
    <w:rsid w:val="00141E82"/>
    <w:rsid w:val="001428AA"/>
    <w:rsid w:val="0014299F"/>
    <w:rsid w:val="00142B21"/>
    <w:rsid w:val="00143205"/>
    <w:rsid w:val="001439BB"/>
    <w:rsid w:val="00143CBF"/>
    <w:rsid w:val="00143D2C"/>
    <w:rsid w:val="00143D86"/>
    <w:rsid w:val="00143F17"/>
    <w:rsid w:val="00144021"/>
    <w:rsid w:val="001442B8"/>
    <w:rsid w:val="001444FD"/>
    <w:rsid w:val="00144507"/>
    <w:rsid w:val="001447C1"/>
    <w:rsid w:val="00144968"/>
    <w:rsid w:val="00144B90"/>
    <w:rsid w:val="00145D77"/>
    <w:rsid w:val="00145EA6"/>
    <w:rsid w:val="00145F17"/>
    <w:rsid w:val="00146270"/>
    <w:rsid w:val="001462BF"/>
    <w:rsid w:val="001469DF"/>
    <w:rsid w:val="0014721C"/>
    <w:rsid w:val="0014739C"/>
    <w:rsid w:val="0014742A"/>
    <w:rsid w:val="001474CA"/>
    <w:rsid w:val="00147F2B"/>
    <w:rsid w:val="00150023"/>
    <w:rsid w:val="0015006B"/>
    <w:rsid w:val="00150221"/>
    <w:rsid w:val="0015035D"/>
    <w:rsid w:val="001505B8"/>
    <w:rsid w:val="001505CE"/>
    <w:rsid w:val="00151706"/>
    <w:rsid w:val="00151973"/>
    <w:rsid w:val="00151F8F"/>
    <w:rsid w:val="00152126"/>
    <w:rsid w:val="00152532"/>
    <w:rsid w:val="00152B28"/>
    <w:rsid w:val="00152F8B"/>
    <w:rsid w:val="001539EC"/>
    <w:rsid w:val="00153C9E"/>
    <w:rsid w:val="00154250"/>
    <w:rsid w:val="001547BA"/>
    <w:rsid w:val="0015482B"/>
    <w:rsid w:val="00154E93"/>
    <w:rsid w:val="001551E0"/>
    <w:rsid w:val="00155487"/>
    <w:rsid w:val="0015564A"/>
    <w:rsid w:val="001559CC"/>
    <w:rsid w:val="00155E72"/>
    <w:rsid w:val="001562E9"/>
    <w:rsid w:val="001562F6"/>
    <w:rsid w:val="00156A76"/>
    <w:rsid w:val="00156AD0"/>
    <w:rsid w:val="00156D7B"/>
    <w:rsid w:val="00156F8B"/>
    <w:rsid w:val="00157126"/>
    <w:rsid w:val="00157A67"/>
    <w:rsid w:val="00157CFA"/>
    <w:rsid w:val="00157F4B"/>
    <w:rsid w:val="0016074E"/>
    <w:rsid w:val="001625C4"/>
    <w:rsid w:val="001625EE"/>
    <w:rsid w:val="00162D36"/>
    <w:rsid w:val="00162E8B"/>
    <w:rsid w:val="00162ED5"/>
    <w:rsid w:val="00163531"/>
    <w:rsid w:val="001637DC"/>
    <w:rsid w:val="00164BAD"/>
    <w:rsid w:val="00164D69"/>
    <w:rsid w:val="00164E20"/>
    <w:rsid w:val="001651A2"/>
    <w:rsid w:val="00165BA8"/>
    <w:rsid w:val="00165BF4"/>
    <w:rsid w:val="00166127"/>
    <w:rsid w:val="0017052C"/>
    <w:rsid w:val="00170A72"/>
    <w:rsid w:val="001711B6"/>
    <w:rsid w:val="00172238"/>
    <w:rsid w:val="0017292C"/>
    <w:rsid w:val="0017299F"/>
    <w:rsid w:val="00173325"/>
    <w:rsid w:val="00173708"/>
    <w:rsid w:val="00173757"/>
    <w:rsid w:val="0017382F"/>
    <w:rsid w:val="00173B78"/>
    <w:rsid w:val="00173F0B"/>
    <w:rsid w:val="00175C2B"/>
    <w:rsid w:val="00175EA0"/>
    <w:rsid w:val="001760D8"/>
    <w:rsid w:val="0017626F"/>
    <w:rsid w:val="001769FF"/>
    <w:rsid w:val="00176D60"/>
    <w:rsid w:val="001770AC"/>
    <w:rsid w:val="0017711D"/>
    <w:rsid w:val="00177A22"/>
    <w:rsid w:val="00177F9D"/>
    <w:rsid w:val="001800C5"/>
    <w:rsid w:val="00180657"/>
    <w:rsid w:val="00180A72"/>
    <w:rsid w:val="00180CF7"/>
    <w:rsid w:val="001811F4"/>
    <w:rsid w:val="00181D5A"/>
    <w:rsid w:val="00182889"/>
    <w:rsid w:val="00182CA2"/>
    <w:rsid w:val="0018306C"/>
    <w:rsid w:val="0018372C"/>
    <w:rsid w:val="00183A29"/>
    <w:rsid w:val="00183F05"/>
    <w:rsid w:val="00184270"/>
    <w:rsid w:val="001855A4"/>
    <w:rsid w:val="001856C0"/>
    <w:rsid w:val="00185DCC"/>
    <w:rsid w:val="00186680"/>
    <w:rsid w:val="0018686F"/>
    <w:rsid w:val="00186B3B"/>
    <w:rsid w:val="001870BF"/>
    <w:rsid w:val="00187DFE"/>
    <w:rsid w:val="00187F07"/>
    <w:rsid w:val="00190401"/>
    <w:rsid w:val="001905AE"/>
    <w:rsid w:val="00190A1E"/>
    <w:rsid w:val="001914F4"/>
    <w:rsid w:val="001915F6"/>
    <w:rsid w:val="00191DB8"/>
    <w:rsid w:val="00191E98"/>
    <w:rsid w:val="00192F76"/>
    <w:rsid w:val="0019335C"/>
    <w:rsid w:val="00193476"/>
    <w:rsid w:val="00194376"/>
    <w:rsid w:val="001944B7"/>
    <w:rsid w:val="00194887"/>
    <w:rsid w:val="001948A0"/>
    <w:rsid w:val="001948AD"/>
    <w:rsid w:val="001951C2"/>
    <w:rsid w:val="00195681"/>
    <w:rsid w:val="00195998"/>
    <w:rsid w:val="00195A4A"/>
    <w:rsid w:val="00195B84"/>
    <w:rsid w:val="00196113"/>
    <w:rsid w:val="001963C9"/>
    <w:rsid w:val="001964E0"/>
    <w:rsid w:val="001967C8"/>
    <w:rsid w:val="00196873"/>
    <w:rsid w:val="00196930"/>
    <w:rsid w:val="00196D94"/>
    <w:rsid w:val="00197110"/>
    <w:rsid w:val="0019795D"/>
    <w:rsid w:val="001A083D"/>
    <w:rsid w:val="001A1039"/>
    <w:rsid w:val="001A14EC"/>
    <w:rsid w:val="001A1A4D"/>
    <w:rsid w:val="001A2BDC"/>
    <w:rsid w:val="001A2D84"/>
    <w:rsid w:val="001A3286"/>
    <w:rsid w:val="001A4718"/>
    <w:rsid w:val="001A49BF"/>
    <w:rsid w:val="001A4AA6"/>
    <w:rsid w:val="001A4D7A"/>
    <w:rsid w:val="001A5C83"/>
    <w:rsid w:val="001A5D65"/>
    <w:rsid w:val="001A5DE9"/>
    <w:rsid w:val="001A6BF2"/>
    <w:rsid w:val="001A6D54"/>
    <w:rsid w:val="001A7575"/>
    <w:rsid w:val="001A7D5F"/>
    <w:rsid w:val="001B1144"/>
    <w:rsid w:val="001B1A88"/>
    <w:rsid w:val="001B1F71"/>
    <w:rsid w:val="001B21E5"/>
    <w:rsid w:val="001B2356"/>
    <w:rsid w:val="001B23AF"/>
    <w:rsid w:val="001B26B2"/>
    <w:rsid w:val="001B2836"/>
    <w:rsid w:val="001B283D"/>
    <w:rsid w:val="001B2933"/>
    <w:rsid w:val="001B2F11"/>
    <w:rsid w:val="001B3A6B"/>
    <w:rsid w:val="001B4A59"/>
    <w:rsid w:val="001B4B2D"/>
    <w:rsid w:val="001B4BB4"/>
    <w:rsid w:val="001B4BE9"/>
    <w:rsid w:val="001B544A"/>
    <w:rsid w:val="001B5D1D"/>
    <w:rsid w:val="001B675E"/>
    <w:rsid w:val="001B70F3"/>
    <w:rsid w:val="001B77D3"/>
    <w:rsid w:val="001C01B6"/>
    <w:rsid w:val="001C035F"/>
    <w:rsid w:val="001C0674"/>
    <w:rsid w:val="001C0CB9"/>
    <w:rsid w:val="001C0D88"/>
    <w:rsid w:val="001C21C8"/>
    <w:rsid w:val="001C2529"/>
    <w:rsid w:val="001C28F3"/>
    <w:rsid w:val="001C3030"/>
    <w:rsid w:val="001C3BBD"/>
    <w:rsid w:val="001C4372"/>
    <w:rsid w:val="001C467D"/>
    <w:rsid w:val="001C5017"/>
    <w:rsid w:val="001C5F46"/>
    <w:rsid w:val="001C61DA"/>
    <w:rsid w:val="001C6241"/>
    <w:rsid w:val="001C6310"/>
    <w:rsid w:val="001C64C7"/>
    <w:rsid w:val="001C651D"/>
    <w:rsid w:val="001C6817"/>
    <w:rsid w:val="001C6FF7"/>
    <w:rsid w:val="001C7378"/>
    <w:rsid w:val="001C7BE2"/>
    <w:rsid w:val="001C7EB2"/>
    <w:rsid w:val="001D0345"/>
    <w:rsid w:val="001D0BB7"/>
    <w:rsid w:val="001D11C7"/>
    <w:rsid w:val="001D1341"/>
    <w:rsid w:val="001D16B6"/>
    <w:rsid w:val="001D218F"/>
    <w:rsid w:val="001D24DF"/>
    <w:rsid w:val="001D285F"/>
    <w:rsid w:val="001D2D06"/>
    <w:rsid w:val="001D3203"/>
    <w:rsid w:val="001D329A"/>
    <w:rsid w:val="001D32E4"/>
    <w:rsid w:val="001D3418"/>
    <w:rsid w:val="001D36FA"/>
    <w:rsid w:val="001D3828"/>
    <w:rsid w:val="001D3A1B"/>
    <w:rsid w:val="001D3BB5"/>
    <w:rsid w:val="001D4363"/>
    <w:rsid w:val="001D4B79"/>
    <w:rsid w:val="001D4BE2"/>
    <w:rsid w:val="001D6553"/>
    <w:rsid w:val="001D6762"/>
    <w:rsid w:val="001E097B"/>
    <w:rsid w:val="001E1AA3"/>
    <w:rsid w:val="001E1C79"/>
    <w:rsid w:val="001E21D1"/>
    <w:rsid w:val="001E2826"/>
    <w:rsid w:val="001E2BB6"/>
    <w:rsid w:val="001E2C82"/>
    <w:rsid w:val="001E2DF7"/>
    <w:rsid w:val="001E2F3E"/>
    <w:rsid w:val="001E30AB"/>
    <w:rsid w:val="001E33A3"/>
    <w:rsid w:val="001E38B9"/>
    <w:rsid w:val="001E49B8"/>
    <w:rsid w:val="001E51F2"/>
    <w:rsid w:val="001E53B3"/>
    <w:rsid w:val="001E5533"/>
    <w:rsid w:val="001E5558"/>
    <w:rsid w:val="001E5B2A"/>
    <w:rsid w:val="001E5DD1"/>
    <w:rsid w:val="001E66DD"/>
    <w:rsid w:val="001E689A"/>
    <w:rsid w:val="001E6953"/>
    <w:rsid w:val="001E6E82"/>
    <w:rsid w:val="001E704F"/>
    <w:rsid w:val="001E717B"/>
    <w:rsid w:val="001E749E"/>
    <w:rsid w:val="001E76A0"/>
    <w:rsid w:val="001E7AB7"/>
    <w:rsid w:val="001F0408"/>
    <w:rsid w:val="001F0F2C"/>
    <w:rsid w:val="001F118D"/>
    <w:rsid w:val="001F2AAA"/>
    <w:rsid w:val="001F4223"/>
    <w:rsid w:val="001F4808"/>
    <w:rsid w:val="001F50A3"/>
    <w:rsid w:val="001F5BE6"/>
    <w:rsid w:val="001F5C66"/>
    <w:rsid w:val="001F61DB"/>
    <w:rsid w:val="001F6261"/>
    <w:rsid w:val="001F6DCA"/>
    <w:rsid w:val="001F7140"/>
    <w:rsid w:val="001F7758"/>
    <w:rsid w:val="001F7951"/>
    <w:rsid w:val="001F7ADE"/>
    <w:rsid w:val="00201073"/>
    <w:rsid w:val="002019F9"/>
    <w:rsid w:val="002021CB"/>
    <w:rsid w:val="00202C99"/>
    <w:rsid w:val="00203264"/>
    <w:rsid w:val="00203689"/>
    <w:rsid w:val="00203A5A"/>
    <w:rsid w:val="00203E04"/>
    <w:rsid w:val="00204953"/>
    <w:rsid w:val="00204B6D"/>
    <w:rsid w:val="00204CCE"/>
    <w:rsid w:val="00205080"/>
    <w:rsid w:val="00205E20"/>
    <w:rsid w:val="00206724"/>
    <w:rsid w:val="00206883"/>
    <w:rsid w:val="00207A84"/>
    <w:rsid w:val="00207CB7"/>
    <w:rsid w:val="002107E9"/>
    <w:rsid w:val="00210CDF"/>
    <w:rsid w:val="00210D9C"/>
    <w:rsid w:val="00210DAF"/>
    <w:rsid w:val="00211074"/>
    <w:rsid w:val="0021138D"/>
    <w:rsid w:val="00212426"/>
    <w:rsid w:val="002124AB"/>
    <w:rsid w:val="00212A5F"/>
    <w:rsid w:val="00213617"/>
    <w:rsid w:val="00213EEF"/>
    <w:rsid w:val="00214757"/>
    <w:rsid w:val="002148A8"/>
    <w:rsid w:val="00214A8D"/>
    <w:rsid w:val="00215044"/>
    <w:rsid w:val="002155DE"/>
    <w:rsid w:val="00215684"/>
    <w:rsid w:val="00215B8B"/>
    <w:rsid w:val="00216014"/>
    <w:rsid w:val="002163E8"/>
    <w:rsid w:val="002167B2"/>
    <w:rsid w:val="002176BC"/>
    <w:rsid w:val="0021773A"/>
    <w:rsid w:val="00220574"/>
    <w:rsid w:val="002208C1"/>
    <w:rsid w:val="002213B2"/>
    <w:rsid w:val="0022185C"/>
    <w:rsid w:val="002227A1"/>
    <w:rsid w:val="00222AA1"/>
    <w:rsid w:val="00223196"/>
    <w:rsid w:val="0022330D"/>
    <w:rsid w:val="00223CF4"/>
    <w:rsid w:val="002251E1"/>
    <w:rsid w:val="002259B0"/>
    <w:rsid w:val="00225DF0"/>
    <w:rsid w:val="00226E14"/>
    <w:rsid w:val="00226E3C"/>
    <w:rsid w:val="00226F9A"/>
    <w:rsid w:val="00227C98"/>
    <w:rsid w:val="002305BA"/>
    <w:rsid w:val="002307EF"/>
    <w:rsid w:val="00230DF0"/>
    <w:rsid w:val="00231498"/>
    <w:rsid w:val="00231934"/>
    <w:rsid w:val="00232321"/>
    <w:rsid w:val="0023284E"/>
    <w:rsid w:val="00232DA0"/>
    <w:rsid w:val="00232FD9"/>
    <w:rsid w:val="00233291"/>
    <w:rsid w:val="00233A5F"/>
    <w:rsid w:val="00233C24"/>
    <w:rsid w:val="00233F41"/>
    <w:rsid w:val="0023479D"/>
    <w:rsid w:val="00235120"/>
    <w:rsid w:val="0023513E"/>
    <w:rsid w:val="00235697"/>
    <w:rsid w:val="00235B8A"/>
    <w:rsid w:val="002361F0"/>
    <w:rsid w:val="00236373"/>
    <w:rsid w:val="0023688C"/>
    <w:rsid w:val="002406A1"/>
    <w:rsid w:val="00240770"/>
    <w:rsid w:val="00240B82"/>
    <w:rsid w:val="002410EF"/>
    <w:rsid w:val="00241490"/>
    <w:rsid w:val="002418EB"/>
    <w:rsid w:val="002422F7"/>
    <w:rsid w:val="00242AAF"/>
    <w:rsid w:val="00242E45"/>
    <w:rsid w:val="00243F91"/>
    <w:rsid w:val="002448B3"/>
    <w:rsid w:val="00244E12"/>
    <w:rsid w:val="00244F1E"/>
    <w:rsid w:val="00245A2F"/>
    <w:rsid w:val="00245B51"/>
    <w:rsid w:val="00245E22"/>
    <w:rsid w:val="00246547"/>
    <w:rsid w:val="00246659"/>
    <w:rsid w:val="002466F1"/>
    <w:rsid w:val="002473DB"/>
    <w:rsid w:val="00247486"/>
    <w:rsid w:val="0025030E"/>
    <w:rsid w:val="0025038C"/>
    <w:rsid w:val="00250DC2"/>
    <w:rsid w:val="00250F09"/>
    <w:rsid w:val="0025159A"/>
    <w:rsid w:val="00251E94"/>
    <w:rsid w:val="002525FD"/>
    <w:rsid w:val="00252956"/>
    <w:rsid w:val="00252DDD"/>
    <w:rsid w:val="00253F4D"/>
    <w:rsid w:val="002543F4"/>
    <w:rsid w:val="0025446A"/>
    <w:rsid w:val="00254F9C"/>
    <w:rsid w:val="00255665"/>
    <w:rsid w:val="0025600A"/>
    <w:rsid w:val="00256310"/>
    <w:rsid w:val="002563EF"/>
    <w:rsid w:val="00257A18"/>
    <w:rsid w:val="00257B81"/>
    <w:rsid w:val="00257F81"/>
    <w:rsid w:val="00260A55"/>
    <w:rsid w:val="00261AF6"/>
    <w:rsid w:val="00261C57"/>
    <w:rsid w:val="002622D2"/>
    <w:rsid w:val="00262992"/>
    <w:rsid w:val="00262FA6"/>
    <w:rsid w:val="00263148"/>
    <w:rsid w:val="002635A8"/>
    <w:rsid w:val="0026406E"/>
    <w:rsid w:val="00264353"/>
    <w:rsid w:val="002647DF"/>
    <w:rsid w:val="0026584E"/>
    <w:rsid w:val="00265941"/>
    <w:rsid w:val="00265B3C"/>
    <w:rsid w:val="00265B93"/>
    <w:rsid w:val="0026678C"/>
    <w:rsid w:val="002667BB"/>
    <w:rsid w:val="00266831"/>
    <w:rsid w:val="00266833"/>
    <w:rsid w:val="002672F5"/>
    <w:rsid w:val="002679EB"/>
    <w:rsid w:val="00270592"/>
    <w:rsid w:val="002707DA"/>
    <w:rsid w:val="002717D0"/>
    <w:rsid w:val="00272A90"/>
    <w:rsid w:val="00272B4B"/>
    <w:rsid w:val="0027382A"/>
    <w:rsid w:val="0027414E"/>
    <w:rsid w:val="002741E5"/>
    <w:rsid w:val="0027486C"/>
    <w:rsid w:val="00274A80"/>
    <w:rsid w:val="00274C23"/>
    <w:rsid w:val="00274F7D"/>
    <w:rsid w:val="002751CD"/>
    <w:rsid w:val="002752F9"/>
    <w:rsid w:val="002753B6"/>
    <w:rsid w:val="002759A2"/>
    <w:rsid w:val="0027605B"/>
    <w:rsid w:val="00276884"/>
    <w:rsid w:val="00276C65"/>
    <w:rsid w:val="00276C8A"/>
    <w:rsid w:val="00277569"/>
    <w:rsid w:val="00277935"/>
    <w:rsid w:val="00277997"/>
    <w:rsid w:val="002779C3"/>
    <w:rsid w:val="00277AA5"/>
    <w:rsid w:val="002801A6"/>
    <w:rsid w:val="002802AB"/>
    <w:rsid w:val="002802B6"/>
    <w:rsid w:val="00281496"/>
    <w:rsid w:val="002819C2"/>
    <w:rsid w:val="00281FE1"/>
    <w:rsid w:val="00283123"/>
    <w:rsid w:val="002836DB"/>
    <w:rsid w:val="00284469"/>
    <w:rsid w:val="00284970"/>
    <w:rsid w:val="00284EB0"/>
    <w:rsid w:val="00285021"/>
    <w:rsid w:val="00285566"/>
    <w:rsid w:val="00285842"/>
    <w:rsid w:val="00285DF7"/>
    <w:rsid w:val="00286B4A"/>
    <w:rsid w:val="00286BFE"/>
    <w:rsid w:val="00286DA4"/>
    <w:rsid w:val="00286FA4"/>
    <w:rsid w:val="00287178"/>
    <w:rsid w:val="00287E73"/>
    <w:rsid w:val="00287F98"/>
    <w:rsid w:val="00290A45"/>
    <w:rsid w:val="00290D50"/>
    <w:rsid w:val="0029145E"/>
    <w:rsid w:val="002915AA"/>
    <w:rsid w:val="00291810"/>
    <w:rsid w:val="00291B79"/>
    <w:rsid w:val="002922B6"/>
    <w:rsid w:val="00292CDD"/>
    <w:rsid w:val="002932B6"/>
    <w:rsid w:val="002934CB"/>
    <w:rsid w:val="002940F6"/>
    <w:rsid w:val="002941BF"/>
    <w:rsid w:val="0029453B"/>
    <w:rsid w:val="00294848"/>
    <w:rsid w:val="00295607"/>
    <w:rsid w:val="002957AC"/>
    <w:rsid w:val="00295E97"/>
    <w:rsid w:val="0029656E"/>
    <w:rsid w:val="00296DDC"/>
    <w:rsid w:val="00296FCD"/>
    <w:rsid w:val="00297253"/>
    <w:rsid w:val="002977C3"/>
    <w:rsid w:val="00297EF7"/>
    <w:rsid w:val="00297EFE"/>
    <w:rsid w:val="002A05F2"/>
    <w:rsid w:val="002A0A10"/>
    <w:rsid w:val="002A171B"/>
    <w:rsid w:val="002A233C"/>
    <w:rsid w:val="002A397C"/>
    <w:rsid w:val="002A4337"/>
    <w:rsid w:val="002A4819"/>
    <w:rsid w:val="002A48CB"/>
    <w:rsid w:val="002A4CF3"/>
    <w:rsid w:val="002A53BA"/>
    <w:rsid w:val="002A587F"/>
    <w:rsid w:val="002A600B"/>
    <w:rsid w:val="002A6BE9"/>
    <w:rsid w:val="002A6DFB"/>
    <w:rsid w:val="002B00A0"/>
    <w:rsid w:val="002B062D"/>
    <w:rsid w:val="002B0D97"/>
    <w:rsid w:val="002B0E7C"/>
    <w:rsid w:val="002B103C"/>
    <w:rsid w:val="002B1381"/>
    <w:rsid w:val="002B1A44"/>
    <w:rsid w:val="002B1E9A"/>
    <w:rsid w:val="002B1FE5"/>
    <w:rsid w:val="002B2A46"/>
    <w:rsid w:val="002B2A91"/>
    <w:rsid w:val="002B2B98"/>
    <w:rsid w:val="002B30B6"/>
    <w:rsid w:val="002B3320"/>
    <w:rsid w:val="002B3339"/>
    <w:rsid w:val="002B3898"/>
    <w:rsid w:val="002B3CE1"/>
    <w:rsid w:val="002B3E48"/>
    <w:rsid w:val="002B59B0"/>
    <w:rsid w:val="002B6091"/>
    <w:rsid w:val="002B6324"/>
    <w:rsid w:val="002B6332"/>
    <w:rsid w:val="002B63A8"/>
    <w:rsid w:val="002B7334"/>
    <w:rsid w:val="002B7B4B"/>
    <w:rsid w:val="002C0AF9"/>
    <w:rsid w:val="002C0F36"/>
    <w:rsid w:val="002C0F8F"/>
    <w:rsid w:val="002C1027"/>
    <w:rsid w:val="002C15ED"/>
    <w:rsid w:val="002C1877"/>
    <w:rsid w:val="002C2055"/>
    <w:rsid w:val="002C240B"/>
    <w:rsid w:val="002C24DA"/>
    <w:rsid w:val="002C26DF"/>
    <w:rsid w:val="002C2A18"/>
    <w:rsid w:val="002C339B"/>
    <w:rsid w:val="002C3CF6"/>
    <w:rsid w:val="002C3E09"/>
    <w:rsid w:val="002C3EDC"/>
    <w:rsid w:val="002C3EE8"/>
    <w:rsid w:val="002C5386"/>
    <w:rsid w:val="002C56E5"/>
    <w:rsid w:val="002C57E6"/>
    <w:rsid w:val="002C5F66"/>
    <w:rsid w:val="002C5FC0"/>
    <w:rsid w:val="002C627F"/>
    <w:rsid w:val="002C6297"/>
    <w:rsid w:val="002C62FC"/>
    <w:rsid w:val="002C66F8"/>
    <w:rsid w:val="002C69A6"/>
    <w:rsid w:val="002C739F"/>
    <w:rsid w:val="002C7756"/>
    <w:rsid w:val="002C7F62"/>
    <w:rsid w:val="002D060E"/>
    <w:rsid w:val="002D0801"/>
    <w:rsid w:val="002D0B63"/>
    <w:rsid w:val="002D0EB3"/>
    <w:rsid w:val="002D1397"/>
    <w:rsid w:val="002D1843"/>
    <w:rsid w:val="002D1C27"/>
    <w:rsid w:val="002D1F43"/>
    <w:rsid w:val="002D3224"/>
    <w:rsid w:val="002D3876"/>
    <w:rsid w:val="002D390F"/>
    <w:rsid w:val="002D3D1F"/>
    <w:rsid w:val="002D42F1"/>
    <w:rsid w:val="002D4C54"/>
    <w:rsid w:val="002D4E85"/>
    <w:rsid w:val="002D50ED"/>
    <w:rsid w:val="002D564E"/>
    <w:rsid w:val="002D5BB3"/>
    <w:rsid w:val="002D635A"/>
    <w:rsid w:val="002D6516"/>
    <w:rsid w:val="002D689A"/>
    <w:rsid w:val="002D6B3B"/>
    <w:rsid w:val="002D6B98"/>
    <w:rsid w:val="002D6D82"/>
    <w:rsid w:val="002D6F70"/>
    <w:rsid w:val="002D742C"/>
    <w:rsid w:val="002D7984"/>
    <w:rsid w:val="002D7B05"/>
    <w:rsid w:val="002D7B24"/>
    <w:rsid w:val="002E1AB0"/>
    <w:rsid w:val="002E2384"/>
    <w:rsid w:val="002E2D42"/>
    <w:rsid w:val="002E3187"/>
    <w:rsid w:val="002E3463"/>
    <w:rsid w:val="002E3752"/>
    <w:rsid w:val="002E3BEC"/>
    <w:rsid w:val="002E3EE5"/>
    <w:rsid w:val="002E41CA"/>
    <w:rsid w:val="002E425C"/>
    <w:rsid w:val="002E44BA"/>
    <w:rsid w:val="002E44D8"/>
    <w:rsid w:val="002E4A87"/>
    <w:rsid w:val="002E4CE6"/>
    <w:rsid w:val="002E4FBF"/>
    <w:rsid w:val="002E5242"/>
    <w:rsid w:val="002E58DF"/>
    <w:rsid w:val="002E66EF"/>
    <w:rsid w:val="002E69F2"/>
    <w:rsid w:val="002E6ABD"/>
    <w:rsid w:val="002E6D4E"/>
    <w:rsid w:val="002E70DF"/>
    <w:rsid w:val="002E7B01"/>
    <w:rsid w:val="002F0609"/>
    <w:rsid w:val="002F09B1"/>
    <w:rsid w:val="002F0DDA"/>
    <w:rsid w:val="002F0F19"/>
    <w:rsid w:val="002F12E5"/>
    <w:rsid w:val="002F19A0"/>
    <w:rsid w:val="002F3407"/>
    <w:rsid w:val="002F3620"/>
    <w:rsid w:val="002F36FF"/>
    <w:rsid w:val="002F3743"/>
    <w:rsid w:val="002F3E7B"/>
    <w:rsid w:val="002F3F93"/>
    <w:rsid w:val="002F452C"/>
    <w:rsid w:val="002F49F2"/>
    <w:rsid w:val="002F4A25"/>
    <w:rsid w:val="002F5C20"/>
    <w:rsid w:val="002F5FB2"/>
    <w:rsid w:val="002F60ED"/>
    <w:rsid w:val="002F6332"/>
    <w:rsid w:val="002F7481"/>
    <w:rsid w:val="002F7868"/>
    <w:rsid w:val="002F7B04"/>
    <w:rsid w:val="003017B8"/>
    <w:rsid w:val="00301BE0"/>
    <w:rsid w:val="00301FE1"/>
    <w:rsid w:val="00302192"/>
    <w:rsid w:val="0030221C"/>
    <w:rsid w:val="00302CDD"/>
    <w:rsid w:val="00302F66"/>
    <w:rsid w:val="003030FF"/>
    <w:rsid w:val="00303142"/>
    <w:rsid w:val="00304F07"/>
    <w:rsid w:val="00305776"/>
    <w:rsid w:val="00305808"/>
    <w:rsid w:val="0030586D"/>
    <w:rsid w:val="00305907"/>
    <w:rsid w:val="00305B75"/>
    <w:rsid w:val="0030622B"/>
    <w:rsid w:val="00306DEE"/>
    <w:rsid w:val="00307081"/>
    <w:rsid w:val="00307BF4"/>
    <w:rsid w:val="0031002D"/>
    <w:rsid w:val="003100AD"/>
    <w:rsid w:val="00310CCF"/>
    <w:rsid w:val="00310E5A"/>
    <w:rsid w:val="00310E65"/>
    <w:rsid w:val="003111D4"/>
    <w:rsid w:val="0031195A"/>
    <w:rsid w:val="00311A83"/>
    <w:rsid w:val="00312581"/>
    <w:rsid w:val="00312DFF"/>
    <w:rsid w:val="003137D0"/>
    <w:rsid w:val="00313D5B"/>
    <w:rsid w:val="00313EE6"/>
    <w:rsid w:val="003143A5"/>
    <w:rsid w:val="003143BB"/>
    <w:rsid w:val="00315313"/>
    <w:rsid w:val="00315F34"/>
    <w:rsid w:val="00316168"/>
    <w:rsid w:val="00316766"/>
    <w:rsid w:val="00316F9D"/>
    <w:rsid w:val="00317A73"/>
    <w:rsid w:val="00317BF6"/>
    <w:rsid w:val="00317FD7"/>
    <w:rsid w:val="00320FFF"/>
    <w:rsid w:val="0032103D"/>
    <w:rsid w:val="0032147D"/>
    <w:rsid w:val="00321A33"/>
    <w:rsid w:val="003223DD"/>
    <w:rsid w:val="00322DF3"/>
    <w:rsid w:val="00323091"/>
    <w:rsid w:val="0032318C"/>
    <w:rsid w:val="00323335"/>
    <w:rsid w:val="00323415"/>
    <w:rsid w:val="00323440"/>
    <w:rsid w:val="0032351D"/>
    <w:rsid w:val="003242E3"/>
    <w:rsid w:val="00325024"/>
    <w:rsid w:val="00325B47"/>
    <w:rsid w:val="00325B6B"/>
    <w:rsid w:val="00326B79"/>
    <w:rsid w:val="003270CC"/>
    <w:rsid w:val="0032782D"/>
    <w:rsid w:val="00327C33"/>
    <w:rsid w:val="003301B8"/>
    <w:rsid w:val="003305CF"/>
    <w:rsid w:val="00330CAD"/>
    <w:rsid w:val="00331438"/>
    <w:rsid w:val="00331756"/>
    <w:rsid w:val="003317A8"/>
    <w:rsid w:val="00331C56"/>
    <w:rsid w:val="00331DE1"/>
    <w:rsid w:val="00332480"/>
    <w:rsid w:val="00332599"/>
    <w:rsid w:val="00332FE5"/>
    <w:rsid w:val="00333113"/>
    <w:rsid w:val="0033327F"/>
    <w:rsid w:val="003338FA"/>
    <w:rsid w:val="00333D48"/>
    <w:rsid w:val="00334168"/>
    <w:rsid w:val="003349D1"/>
    <w:rsid w:val="003351E9"/>
    <w:rsid w:val="003353C2"/>
    <w:rsid w:val="00335523"/>
    <w:rsid w:val="00335568"/>
    <w:rsid w:val="003360F3"/>
    <w:rsid w:val="003362D0"/>
    <w:rsid w:val="003368AB"/>
    <w:rsid w:val="00337128"/>
    <w:rsid w:val="00337CBA"/>
    <w:rsid w:val="00337D4F"/>
    <w:rsid w:val="0034018A"/>
    <w:rsid w:val="00340CF9"/>
    <w:rsid w:val="003413CC"/>
    <w:rsid w:val="00341672"/>
    <w:rsid w:val="003416EC"/>
    <w:rsid w:val="0034197D"/>
    <w:rsid w:val="0034282D"/>
    <w:rsid w:val="003430E2"/>
    <w:rsid w:val="003432B4"/>
    <w:rsid w:val="00343DAC"/>
    <w:rsid w:val="00344154"/>
    <w:rsid w:val="003446B6"/>
    <w:rsid w:val="00344947"/>
    <w:rsid w:val="00345277"/>
    <w:rsid w:val="00346682"/>
    <w:rsid w:val="00346CA2"/>
    <w:rsid w:val="00346F03"/>
    <w:rsid w:val="003470FB"/>
    <w:rsid w:val="003476C2"/>
    <w:rsid w:val="00347A3E"/>
    <w:rsid w:val="00350426"/>
    <w:rsid w:val="00350743"/>
    <w:rsid w:val="003512BA"/>
    <w:rsid w:val="00351C59"/>
    <w:rsid w:val="00351CA3"/>
    <w:rsid w:val="00351D52"/>
    <w:rsid w:val="00352DAE"/>
    <w:rsid w:val="00352FC6"/>
    <w:rsid w:val="00352FF0"/>
    <w:rsid w:val="003531FE"/>
    <w:rsid w:val="00353628"/>
    <w:rsid w:val="00353AF5"/>
    <w:rsid w:val="00353B30"/>
    <w:rsid w:val="003542CE"/>
    <w:rsid w:val="00355349"/>
    <w:rsid w:val="003558DB"/>
    <w:rsid w:val="00355D6A"/>
    <w:rsid w:val="00355DEB"/>
    <w:rsid w:val="00355F93"/>
    <w:rsid w:val="00356789"/>
    <w:rsid w:val="0035699F"/>
    <w:rsid w:val="00356D54"/>
    <w:rsid w:val="00357104"/>
    <w:rsid w:val="00357515"/>
    <w:rsid w:val="003576B6"/>
    <w:rsid w:val="00357B20"/>
    <w:rsid w:val="00357D13"/>
    <w:rsid w:val="00360154"/>
    <w:rsid w:val="003612B1"/>
    <w:rsid w:val="003616DF"/>
    <w:rsid w:val="00361987"/>
    <w:rsid w:val="00361A77"/>
    <w:rsid w:val="00361D8B"/>
    <w:rsid w:val="00361F4C"/>
    <w:rsid w:val="0036216B"/>
    <w:rsid w:val="00362370"/>
    <w:rsid w:val="00362449"/>
    <w:rsid w:val="003624FC"/>
    <w:rsid w:val="00362762"/>
    <w:rsid w:val="00362E2D"/>
    <w:rsid w:val="00362F88"/>
    <w:rsid w:val="00363B4B"/>
    <w:rsid w:val="003642F5"/>
    <w:rsid w:val="0036468E"/>
    <w:rsid w:val="003647EA"/>
    <w:rsid w:val="00364BEF"/>
    <w:rsid w:val="0036522C"/>
    <w:rsid w:val="00365455"/>
    <w:rsid w:val="003657EA"/>
    <w:rsid w:val="00366122"/>
    <w:rsid w:val="003663C1"/>
    <w:rsid w:val="0036649E"/>
    <w:rsid w:val="00366854"/>
    <w:rsid w:val="00366905"/>
    <w:rsid w:val="00370BF5"/>
    <w:rsid w:val="0037172D"/>
    <w:rsid w:val="003720ED"/>
    <w:rsid w:val="00372104"/>
    <w:rsid w:val="0037257A"/>
    <w:rsid w:val="003733FC"/>
    <w:rsid w:val="003734DC"/>
    <w:rsid w:val="00373A65"/>
    <w:rsid w:val="003745D8"/>
    <w:rsid w:val="0037478E"/>
    <w:rsid w:val="003748D9"/>
    <w:rsid w:val="00374A43"/>
    <w:rsid w:val="0037525E"/>
    <w:rsid w:val="00376B24"/>
    <w:rsid w:val="0037798D"/>
    <w:rsid w:val="00377DE7"/>
    <w:rsid w:val="00377DEB"/>
    <w:rsid w:val="003806CE"/>
    <w:rsid w:val="0038133B"/>
    <w:rsid w:val="003817D0"/>
    <w:rsid w:val="00382549"/>
    <w:rsid w:val="00382D84"/>
    <w:rsid w:val="00383ADE"/>
    <w:rsid w:val="00383F32"/>
    <w:rsid w:val="00384089"/>
    <w:rsid w:val="00384723"/>
    <w:rsid w:val="0038490B"/>
    <w:rsid w:val="00384A60"/>
    <w:rsid w:val="003851E3"/>
    <w:rsid w:val="0038535C"/>
    <w:rsid w:val="003858B7"/>
    <w:rsid w:val="003859E1"/>
    <w:rsid w:val="00386255"/>
    <w:rsid w:val="0038692E"/>
    <w:rsid w:val="00386A57"/>
    <w:rsid w:val="00387617"/>
    <w:rsid w:val="00387EE5"/>
    <w:rsid w:val="00390D08"/>
    <w:rsid w:val="003911B4"/>
    <w:rsid w:val="00391C55"/>
    <w:rsid w:val="0039321C"/>
    <w:rsid w:val="003938C4"/>
    <w:rsid w:val="0039423E"/>
    <w:rsid w:val="0039471D"/>
    <w:rsid w:val="003948BF"/>
    <w:rsid w:val="003948EB"/>
    <w:rsid w:val="00394DD8"/>
    <w:rsid w:val="0039545E"/>
    <w:rsid w:val="00395D1B"/>
    <w:rsid w:val="003962FC"/>
    <w:rsid w:val="00396778"/>
    <w:rsid w:val="00396984"/>
    <w:rsid w:val="00396CE7"/>
    <w:rsid w:val="00396D95"/>
    <w:rsid w:val="00397C76"/>
    <w:rsid w:val="00397E69"/>
    <w:rsid w:val="003A00A8"/>
    <w:rsid w:val="003A06B2"/>
    <w:rsid w:val="003A0CFA"/>
    <w:rsid w:val="003A0D01"/>
    <w:rsid w:val="003A0FEE"/>
    <w:rsid w:val="003A145B"/>
    <w:rsid w:val="003A15DE"/>
    <w:rsid w:val="003A198B"/>
    <w:rsid w:val="003A2095"/>
    <w:rsid w:val="003A2588"/>
    <w:rsid w:val="003A28B5"/>
    <w:rsid w:val="003A28F8"/>
    <w:rsid w:val="003A2952"/>
    <w:rsid w:val="003A2C4E"/>
    <w:rsid w:val="003A3265"/>
    <w:rsid w:val="003A3A7C"/>
    <w:rsid w:val="003A3B9E"/>
    <w:rsid w:val="003A470F"/>
    <w:rsid w:val="003A4780"/>
    <w:rsid w:val="003A4A8C"/>
    <w:rsid w:val="003A55F1"/>
    <w:rsid w:val="003A599F"/>
    <w:rsid w:val="003A5B5E"/>
    <w:rsid w:val="003A6668"/>
    <w:rsid w:val="003A6834"/>
    <w:rsid w:val="003A68E2"/>
    <w:rsid w:val="003A70B0"/>
    <w:rsid w:val="003A7270"/>
    <w:rsid w:val="003A7F74"/>
    <w:rsid w:val="003B0236"/>
    <w:rsid w:val="003B02FC"/>
    <w:rsid w:val="003B0900"/>
    <w:rsid w:val="003B0A8D"/>
    <w:rsid w:val="003B2B58"/>
    <w:rsid w:val="003B35DA"/>
    <w:rsid w:val="003B3617"/>
    <w:rsid w:val="003B3B3A"/>
    <w:rsid w:val="003B3CD0"/>
    <w:rsid w:val="003B4229"/>
    <w:rsid w:val="003B4712"/>
    <w:rsid w:val="003B4887"/>
    <w:rsid w:val="003B490F"/>
    <w:rsid w:val="003B4F84"/>
    <w:rsid w:val="003B5018"/>
    <w:rsid w:val="003B530F"/>
    <w:rsid w:val="003B56CD"/>
    <w:rsid w:val="003B6101"/>
    <w:rsid w:val="003B6650"/>
    <w:rsid w:val="003B6748"/>
    <w:rsid w:val="003B6A7E"/>
    <w:rsid w:val="003B6AD9"/>
    <w:rsid w:val="003B72AA"/>
    <w:rsid w:val="003B72AE"/>
    <w:rsid w:val="003B7CD7"/>
    <w:rsid w:val="003B7F45"/>
    <w:rsid w:val="003B7FC1"/>
    <w:rsid w:val="003C0211"/>
    <w:rsid w:val="003C081C"/>
    <w:rsid w:val="003C0CD8"/>
    <w:rsid w:val="003C0F9E"/>
    <w:rsid w:val="003C1493"/>
    <w:rsid w:val="003C171E"/>
    <w:rsid w:val="003C201B"/>
    <w:rsid w:val="003C250D"/>
    <w:rsid w:val="003C2AD2"/>
    <w:rsid w:val="003C3BB0"/>
    <w:rsid w:val="003C464A"/>
    <w:rsid w:val="003C51E4"/>
    <w:rsid w:val="003C57FF"/>
    <w:rsid w:val="003C5D5D"/>
    <w:rsid w:val="003C606F"/>
    <w:rsid w:val="003C6406"/>
    <w:rsid w:val="003C71FF"/>
    <w:rsid w:val="003C7DB9"/>
    <w:rsid w:val="003D15AC"/>
    <w:rsid w:val="003D2E8E"/>
    <w:rsid w:val="003D2EBF"/>
    <w:rsid w:val="003D2F9F"/>
    <w:rsid w:val="003D34CC"/>
    <w:rsid w:val="003D3684"/>
    <w:rsid w:val="003D36C7"/>
    <w:rsid w:val="003D4363"/>
    <w:rsid w:val="003D450F"/>
    <w:rsid w:val="003D45E9"/>
    <w:rsid w:val="003D4D18"/>
    <w:rsid w:val="003D59BF"/>
    <w:rsid w:val="003D5E89"/>
    <w:rsid w:val="003D6BA1"/>
    <w:rsid w:val="003D6FA0"/>
    <w:rsid w:val="003E0626"/>
    <w:rsid w:val="003E065B"/>
    <w:rsid w:val="003E078F"/>
    <w:rsid w:val="003E084B"/>
    <w:rsid w:val="003E150A"/>
    <w:rsid w:val="003E1811"/>
    <w:rsid w:val="003E216D"/>
    <w:rsid w:val="003E2C0A"/>
    <w:rsid w:val="003E2EF0"/>
    <w:rsid w:val="003E4100"/>
    <w:rsid w:val="003E4821"/>
    <w:rsid w:val="003E4A7F"/>
    <w:rsid w:val="003E5732"/>
    <w:rsid w:val="003E5AA1"/>
    <w:rsid w:val="003E5BA6"/>
    <w:rsid w:val="003E61BC"/>
    <w:rsid w:val="003E6BB9"/>
    <w:rsid w:val="003E6D3E"/>
    <w:rsid w:val="003E706C"/>
    <w:rsid w:val="003E720D"/>
    <w:rsid w:val="003E780D"/>
    <w:rsid w:val="003E7D5F"/>
    <w:rsid w:val="003F0918"/>
    <w:rsid w:val="003F0EAE"/>
    <w:rsid w:val="003F11C8"/>
    <w:rsid w:val="003F1682"/>
    <w:rsid w:val="003F1A85"/>
    <w:rsid w:val="003F1EB5"/>
    <w:rsid w:val="003F238A"/>
    <w:rsid w:val="003F2396"/>
    <w:rsid w:val="003F27B7"/>
    <w:rsid w:val="003F2929"/>
    <w:rsid w:val="003F2A9E"/>
    <w:rsid w:val="003F2CCB"/>
    <w:rsid w:val="003F2DDA"/>
    <w:rsid w:val="003F3088"/>
    <w:rsid w:val="003F3B81"/>
    <w:rsid w:val="003F3D05"/>
    <w:rsid w:val="003F4942"/>
    <w:rsid w:val="003F4AD5"/>
    <w:rsid w:val="003F57DC"/>
    <w:rsid w:val="003F64CE"/>
    <w:rsid w:val="003F7C44"/>
    <w:rsid w:val="004007A8"/>
    <w:rsid w:val="00400A18"/>
    <w:rsid w:val="0040125B"/>
    <w:rsid w:val="004013D9"/>
    <w:rsid w:val="00401ED6"/>
    <w:rsid w:val="0040215A"/>
    <w:rsid w:val="004022EB"/>
    <w:rsid w:val="004025F8"/>
    <w:rsid w:val="004026FA"/>
    <w:rsid w:val="004028B5"/>
    <w:rsid w:val="00402B10"/>
    <w:rsid w:val="00402F66"/>
    <w:rsid w:val="004033B5"/>
    <w:rsid w:val="004034E1"/>
    <w:rsid w:val="00403FC6"/>
    <w:rsid w:val="00404646"/>
    <w:rsid w:val="0040485D"/>
    <w:rsid w:val="00404B55"/>
    <w:rsid w:val="00404F76"/>
    <w:rsid w:val="004050E2"/>
    <w:rsid w:val="004051DD"/>
    <w:rsid w:val="004057D3"/>
    <w:rsid w:val="00405C64"/>
    <w:rsid w:val="004062C4"/>
    <w:rsid w:val="00406313"/>
    <w:rsid w:val="00406494"/>
    <w:rsid w:val="004064D6"/>
    <w:rsid w:val="0040655C"/>
    <w:rsid w:val="00407276"/>
    <w:rsid w:val="00407CCB"/>
    <w:rsid w:val="004107A3"/>
    <w:rsid w:val="00411342"/>
    <w:rsid w:val="00411803"/>
    <w:rsid w:val="00411874"/>
    <w:rsid w:val="00411EC5"/>
    <w:rsid w:val="0041234E"/>
    <w:rsid w:val="004131C7"/>
    <w:rsid w:val="00413279"/>
    <w:rsid w:val="004139BF"/>
    <w:rsid w:val="00413CC4"/>
    <w:rsid w:val="00414CF7"/>
    <w:rsid w:val="00414EA9"/>
    <w:rsid w:val="00415480"/>
    <w:rsid w:val="004158F9"/>
    <w:rsid w:val="00415BAA"/>
    <w:rsid w:val="0041637A"/>
    <w:rsid w:val="004163B0"/>
    <w:rsid w:val="0041711E"/>
    <w:rsid w:val="004201C0"/>
    <w:rsid w:val="00420A98"/>
    <w:rsid w:val="004214D4"/>
    <w:rsid w:val="00421758"/>
    <w:rsid w:val="00421CCC"/>
    <w:rsid w:val="0042228E"/>
    <w:rsid w:val="00423258"/>
    <w:rsid w:val="004235C7"/>
    <w:rsid w:val="00423BBA"/>
    <w:rsid w:val="004242EF"/>
    <w:rsid w:val="004248DF"/>
    <w:rsid w:val="00425B91"/>
    <w:rsid w:val="00425BA5"/>
    <w:rsid w:val="00425DD5"/>
    <w:rsid w:val="004271C4"/>
    <w:rsid w:val="004275DD"/>
    <w:rsid w:val="004306A8"/>
    <w:rsid w:val="0043110F"/>
    <w:rsid w:val="00432051"/>
    <w:rsid w:val="00432B7D"/>
    <w:rsid w:val="00432C12"/>
    <w:rsid w:val="004330DE"/>
    <w:rsid w:val="0043342A"/>
    <w:rsid w:val="004336E2"/>
    <w:rsid w:val="004337B4"/>
    <w:rsid w:val="004337E5"/>
    <w:rsid w:val="004348E9"/>
    <w:rsid w:val="00434E16"/>
    <w:rsid w:val="00434E8F"/>
    <w:rsid w:val="004353D2"/>
    <w:rsid w:val="00435B9B"/>
    <w:rsid w:val="00435EFE"/>
    <w:rsid w:val="00436938"/>
    <w:rsid w:val="00436C79"/>
    <w:rsid w:val="00437567"/>
    <w:rsid w:val="004376AB"/>
    <w:rsid w:val="00437E98"/>
    <w:rsid w:val="0044010C"/>
    <w:rsid w:val="0044028E"/>
    <w:rsid w:val="00441316"/>
    <w:rsid w:val="00441709"/>
    <w:rsid w:val="00441AE2"/>
    <w:rsid w:val="004420D8"/>
    <w:rsid w:val="00442181"/>
    <w:rsid w:val="00442BB8"/>
    <w:rsid w:val="00442EA5"/>
    <w:rsid w:val="00443867"/>
    <w:rsid w:val="00443CDF"/>
    <w:rsid w:val="00443FED"/>
    <w:rsid w:val="00444065"/>
    <w:rsid w:val="00444A56"/>
    <w:rsid w:val="00444E12"/>
    <w:rsid w:val="00444E48"/>
    <w:rsid w:val="00445280"/>
    <w:rsid w:val="00445BC3"/>
    <w:rsid w:val="00446468"/>
    <w:rsid w:val="004465D1"/>
    <w:rsid w:val="0044697F"/>
    <w:rsid w:val="00447425"/>
    <w:rsid w:val="0044757C"/>
    <w:rsid w:val="0045121B"/>
    <w:rsid w:val="00451391"/>
    <w:rsid w:val="0045254F"/>
    <w:rsid w:val="0045260B"/>
    <w:rsid w:val="00452EB7"/>
    <w:rsid w:val="004533DC"/>
    <w:rsid w:val="00453498"/>
    <w:rsid w:val="00453FA4"/>
    <w:rsid w:val="00454A2E"/>
    <w:rsid w:val="00454D19"/>
    <w:rsid w:val="0045506B"/>
    <w:rsid w:val="004558FD"/>
    <w:rsid w:val="00455B38"/>
    <w:rsid w:val="0045647B"/>
    <w:rsid w:val="0045690E"/>
    <w:rsid w:val="00456B2C"/>
    <w:rsid w:val="00457686"/>
    <w:rsid w:val="00457C3B"/>
    <w:rsid w:val="00457DDE"/>
    <w:rsid w:val="004604EC"/>
    <w:rsid w:val="00460B7E"/>
    <w:rsid w:val="00460C4D"/>
    <w:rsid w:val="00461D26"/>
    <w:rsid w:val="00461DB0"/>
    <w:rsid w:val="00462896"/>
    <w:rsid w:val="0046292D"/>
    <w:rsid w:val="004637C4"/>
    <w:rsid w:val="00463B8A"/>
    <w:rsid w:val="0046445F"/>
    <w:rsid w:val="00464803"/>
    <w:rsid w:val="004650ED"/>
    <w:rsid w:val="004651F4"/>
    <w:rsid w:val="00465273"/>
    <w:rsid w:val="00465688"/>
    <w:rsid w:val="00465875"/>
    <w:rsid w:val="00466224"/>
    <w:rsid w:val="00466679"/>
    <w:rsid w:val="00466686"/>
    <w:rsid w:val="00466CFA"/>
    <w:rsid w:val="00467033"/>
    <w:rsid w:val="0046713D"/>
    <w:rsid w:val="00467271"/>
    <w:rsid w:val="0046735A"/>
    <w:rsid w:val="0046778E"/>
    <w:rsid w:val="00467D21"/>
    <w:rsid w:val="00467D2A"/>
    <w:rsid w:val="004701B4"/>
    <w:rsid w:val="004702EB"/>
    <w:rsid w:val="004703B6"/>
    <w:rsid w:val="004705EE"/>
    <w:rsid w:val="00471274"/>
    <w:rsid w:val="00471334"/>
    <w:rsid w:val="004715FB"/>
    <w:rsid w:val="0047175E"/>
    <w:rsid w:val="0047192A"/>
    <w:rsid w:val="00471B2D"/>
    <w:rsid w:val="00471B4B"/>
    <w:rsid w:val="004724A3"/>
    <w:rsid w:val="004724B1"/>
    <w:rsid w:val="004724C8"/>
    <w:rsid w:val="004729D3"/>
    <w:rsid w:val="00472BE4"/>
    <w:rsid w:val="00473119"/>
    <w:rsid w:val="00473C63"/>
    <w:rsid w:val="00473EA6"/>
    <w:rsid w:val="0047481F"/>
    <w:rsid w:val="00474A5E"/>
    <w:rsid w:val="00474B18"/>
    <w:rsid w:val="0047553A"/>
    <w:rsid w:val="00475CE6"/>
    <w:rsid w:val="00475DEB"/>
    <w:rsid w:val="004763E0"/>
    <w:rsid w:val="0047796C"/>
    <w:rsid w:val="004804D4"/>
    <w:rsid w:val="00480BDA"/>
    <w:rsid w:val="00480C09"/>
    <w:rsid w:val="00480C88"/>
    <w:rsid w:val="00481875"/>
    <w:rsid w:val="00481F5C"/>
    <w:rsid w:val="004822ED"/>
    <w:rsid w:val="004823D5"/>
    <w:rsid w:val="004828EE"/>
    <w:rsid w:val="00482BBF"/>
    <w:rsid w:val="00482C72"/>
    <w:rsid w:val="00482D39"/>
    <w:rsid w:val="0048311A"/>
    <w:rsid w:val="004831FA"/>
    <w:rsid w:val="004833FA"/>
    <w:rsid w:val="0048416E"/>
    <w:rsid w:val="00484631"/>
    <w:rsid w:val="0048488C"/>
    <w:rsid w:val="0048532B"/>
    <w:rsid w:val="00485A4B"/>
    <w:rsid w:val="00486710"/>
    <w:rsid w:val="00487197"/>
    <w:rsid w:val="004903B8"/>
    <w:rsid w:val="004904D2"/>
    <w:rsid w:val="0049081D"/>
    <w:rsid w:val="00491027"/>
    <w:rsid w:val="004911F2"/>
    <w:rsid w:val="004911F8"/>
    <w:rsid w:val="0049133D"/>
    <w:rsid w:val="004914CB"/>
    <w:rsid w:val="0049159C"/>
    <w:rsid w:val="004915C1"/>
    <w:rsid w:val="00491BAA"/>
    <w:rsid w:val="00492D60"/>
    <w:rsid w:val="00492FE0"/>
    <w:rsid w:val="00493B23"/>
    <w:rsid w:val="00493F42"/>
    <w:rsid w:val="004943C9"/>
    <w:rsid w:val="004944A5"/>
    <w:rsid w:val="00494752"/>
    <w:rsid w:val="00494A8F"/>
    <w:rsid w:val="00495757"/>
    <w:rsid w:val="00495ECB"/>
    <w:rsid w:val="00496A8D"/>
    <w:rsid w:val="00496FF7"/>
    <w:rsid w:val="0049739A"/>
    <w:rsid w:val="00497454"/>
    <w:rsid w:val="00497759"/>
    <w:rsid w:val="00497C91"/>
    <w:rsid w:val="00497D59"/>
    <w:rsid w:val="00497F29"/>
    <w:rsid w:val="004A060E"/>
    <w:rsid w:val="004A0A97"/>
    <w:rsid w:val="004A0B9A"/>
    <w:rsid w:val="004A1328"/>
    <w:rsid w:val="004A1A99"/>
    <w:rsid w:val="004A1CCB"/>
    <w:rsid w:val="004A2185"/>
    <w:rsid w:val="004A2212"/>
    <w:rsid w:val="004A2765"/>
    <w:rsid w:val="004A2CA9"/>
    <w:rsid w:val="004A3249"/>
    <w:rsid w:val="004A3FBE"/>
    <w:rsid w:val="004A435E"/>
    <w:rsid w:val="004A48BF"/>
    <w:rsid w:val="004A4CDF"/>
    <w:rsid w:val="004A500B"/>
    <w:rsid w:val="004A544B"/>
    <w:rsid w:val="004A64E9"/>
    <w:rsid w:val="004A7775"/>
    <w:rsid w:val="004A7966"/>
    <w:rsid w:val="004B034A"/>
    <w:rsid w:val="004B065B"/>
    <w:rsid w:val="004B0756"/>
    <w:rsid w:val="004B09FC"/>
    <w:rsid w:val="004B0C29"/>
    <w:rsid w:val="004B151D"/>
    <w:rsid w:val="004B190E"/>
    <w:rsid w:val="004B236D"/>
    <w:rsid w:val="004B2535"/>
    <w:rsid w:val="004B2539"/>
    <w:rsid w:val="004B27D7"/>
    <w:rsid w:val="004B2855"/>
    <w:rsid w:val="004B2A10"/>
    <w:rsid w:val="004B2FCC"/>
    <w:rsid w:val="004B3571"/>
    <w:rsid w:val="004B437D"/>
    <w:rsid w:val="004B49B2"/>
    <w:rsid w:val="004B4B21"/>
    <w:rsid w:val="004B5370"/>
    <w:rsid w:val="004B5E70"/>
    <w:rsid w:val="004B64E1"/>
    <w:rsid w:val="004B65BA"/>
    <w:rsid w:val="004B6A2D"/>
    <w:rsid w:val="004B6CB5"/>
    <w:rsid w:val="004B713A"/>
    <w:rsid w:val="004B7540"/>
    <w:rsid w:val="004B78F6"/>
    <w:rsid w:val="004B7D01"/>
    <w:rsid w:val="004B7E9D"/>
    <w:rsid w:val="004B7F8F"/>
    <w:rsid w:val="004C00DF"/>
    <w:rsid w:val="004C0173"/>
    <w:rsid w:val="004C0A5D"/>
    <w:rsid w:val="004C0EAC"/>
    <w:rsid w:val="004C1055"/>
    <w:rsid w:val="004C148F"/>
    <w:rsid w:val="004C158C"/>
    <w:rsid w:val="004C1C9F"/>
    <w:rsid w:val="004C248A"/>
    <w:rsid w:val="004C24A0"/>
    <w:rsid w:val="004C2500"/>
    <w:rsid w:val="004C2572"/>
    <w:rsid w:val="004C2EC3"/>
    <w:rsid w:val="004C347A"/>
    <w:rsid w:val="004C4041"/>
    <w:rsid w:val="004C4DD6"/>
    <w:rsid w:val="004C5C88"/>
    <w:rsid w:val="004C5E1D"/>
    <w:rsid w:val="004C5F2E"/>
    <w:rsid w:val="004C5F65"/>
    <w:rsid w:val="004C67CB"/>
    <w:rsid w:val="004C6DB3"/>
    <w:rsid w:val="004C6DF0"/>
    <w:rsid w:val="004D0965"/>
    <w:rsid w:val="004D0B42"/>
    <w:rsid w:val="004D0D40"/>
    <w:rsid w:val="004D0D4C"/>
    <w:rsid w:val="004D1166"/>
    <w:rsid w:val="004D15DF"/>
    <w:rsid w:val="004D2050"/>
    <w:rsid w:val="004D26CC"/>
    <w:rsid w:val="004D26F0"/>
    <w:rsid w:val="004D2F2A"/>
    <w:rsid w:val="004D3C4A"/>
    <w:rsid w:val="004D3EC8"/>
    <w:rsid w:val="004D3F8E"/>
    <w:rsid w:val="004D408E"/>
    <w:rsid w:val="004D4A6F"/>
    <w:rsid w:val="004D54B0"/>
    <w:rsid w:val="004D55F4"/>
    <w:rsid w:val="004D569B"/>
    <w:rsid w:val="004D5866"/>
    <w:rsid w:val="004D5C1C"/>
    <w:rsid w:val="004D628C"/>
    <w:rsid w:val="004D6417"/>
    <w:rsid w:val="004D66F7"/>
    <w:rsid w:val="004D679A"/>
    <w:rsid w:val="004D6F5A"/>
    <w:rsid w:val="004D704D"/>
    <w:rsid w:val="004D7A92"/>
    <w:rsid w:val="004D7DB5"/>
    <w:rsid w:val="004E06A4"/>
    <w:rsid w:val="004E1A46"/>
    <w:rsid w:val="004E2330"/>
    <w:rsid w:val="004E248B"/>
    <w:rsid w:val="004E2925"/>
    <w:rsid w:val="004E2FE4"/>
    <w:rsid w:val="004E368B"/>
    <w:rsid w:val="004E3DBD"/>
    <w:rsid w:val="004E4065"/>
    <w:rsid w:val="004E43F6"/>
    <w:rsid w:val="004E516E"/>
    <w:rsid w:val="004E56FE"/>
    <w:rsid w:val="004E5F47"/>
    <w:rsid w:val="004E61C3"/>
    <w:rsid w:val="004E6316"/>
    <w:rsid w:val="004E6E83"/>
    <w:rsid w:val="004E762C"/>
    <w:rsid w:val="004F00E4"/>
    <w:rsid w:val="004F0DC2"/>
    <w:rsid w:val="004F0EBE"/>
    <w:rsid w:val="004F108F"/>
    <w:rsid w:val="004F183D"/>
    <w:rsid w:val="004F207E"/>
    <w:rsid w:val="004F22AF"/>
    <w:rsid w:val="004F27A2"/>
    <w:rsid w:val="004F35E1"/>
    <w:rsid w:val="004F3800"/>
    <w:rsid w:val="004F3BEB"/>
    <w:rsid w:val="004F40EE"/>
    <w:rsid w:val="004F4204"/>
    <w:rsid w:val="004F4AD5"/>
    <w:rsid w:val="004F5856"/>
    <w:rsid w:val="004F5A01"/>
    <w:rsid w:val="004F5BF5"/>
    <w:rsid w:val="004F68FF"/>
    <w:rsid w:val="004F6C5F"/>
    <w:rsid w:val="004F7C12"/>
    <w:rsid w:val="0050015A"/>
    <w:rsid w:val="0050097F"/>
    <w:rsid w:val="00500FAA"/>
    <w:rsid w:val="005018CA"/>
    <w:rsid w:val="00501D4E"/>
    <w:rsid w:val="00501F3D"/>
    <w:rsid w:val="005020A3"/>
    <w:rsid w:val="0050222D"/>
    <w:rsid w:val="00502584"/>
    <w:rsid w:val="00502637"/>
    <w:rsid w:val="00502695"/>
    <w:rsid w:val="005027AC"/>
    <w:rsid w:val="005046E7"/>
    <w:rsid w:val="005050D9"/>
    <w:rsid w:val="00505704"/>
    <w:rsid w:val="00510127"/>
    <w:rsid w:val="005105F8"/>
    <w:rsid w:val="00510C78"/>
    <w:rsid w:val="00510DB7"/>
    <w:rsid w:val="00511286"/>
    <w:rsid w:val="005112A2"/>
    <w:rsid w:val="00511B6B"/>
    <w:rsid w:val="00511ED6"/>
    <w:rsid w:val="005122ED"/>
    <w:rsid w:val="00512624"/>
    <w:rsid w:val="00512773"/>
    <w:rsid w:val="00512A1A"/>
    <w:rsid w:val="00513554"/>
    <w:rsid w:val="005139B5"/>
    <w:rsid w:val="005144CD"/>
    <w:rsid w:val="00514ABD"/>
    <w:rsid w:val="00515957"/>
    <w:rsid w:val="00516216"/>
    <w:rsid w:val="005202C8"/>
    <w:rsid w:val="005203E9"/>
    <w:rsid w:val="00521524"/>
    <w:rsid w:val="0052178E"/>
    <w:rsid w:val="005223F0"/>
    <w:rsid w:val="0052268B"/>
    <w:rsid w:val="00522BE9"/>
    <w:rsid w:val="00522D50"/>
    <w:rsid w:val="00523448"/>
    <w:rsid w:val="005235B0"/>
    <w:rsid w:val="005237E3"/>
    <w:rsid w:val="0052380B"/>
    <w:rsid w:val="00523B6B"/>
    <w:rsid w:val="00523E72"/>
    <w:rsid w:val="00524277"/>
    <w:rsid w:val="00524304"/>
    <w:rsid w:val="00524677"/>
    <w:rsid w:val="00524FCB"/>
    <w:rsid w:val="005254CC"/>
    <w:rsid w:val="005255A1"/>
    <w:rsid w:val="00525E43"/>
    <w:rsid w:val="00525FFE"/>
    <w:rsid w:val="005269E3"/>
    <w:rsid w:val="0052709C"/>
    <w:rsid w:val="0052736C"/>
    <w:rsid w:val="00527CA8"/>
    <w:rsid w:val="00530427"/>
    <w:rsid w:val="0053049D"/>
    <w:rsid w:val="00531349"/>
    <w:rsid w:val="00531991"/>
    <w:rsid w:val="00531FEC"/>
    <w:rsid w:val="00532729"/>
    <w:rsid w:val="0053274F"/>
    <w:rsid w:val="00532866"/>
    <w:rsid w:val="0053410A"/>
    <w:rsid w:val="005343C8"/>
    <w:rsid w:val="00534C03"/>
    <w:rsid w:val="0053531A"/>
    <w:rsid w:val="00535709"/>
    <w:rsid w:val="00535BC2"/>
    <w:rsid w:val="005360C5"/>
    <w:rsid w:val="00536672"/>
    <w:rsid w:val="00537DC8"/>
    <w:rsid w:val="005402F4"/>
    <w:rsid w:val="00540481"/>
    <w:rsid w:val="00541141"/>
    <w:rsid w:val="005413E1"/>
    <w:rsid w:val="00541BD8"/>
    <w:rsid w:val="00542816"/>
    <w:rsid w:val="00542B1C"/>
    <w:rsid w:val="00542DFF"/>
    <w:rsid w:val="00543154"/>
    <w:rsid w:val="00543252"/>
    <w:rsid w:val="0054329A"/>
    <w:rsid w:val="00543821"/>
    <w:rsid w:val="005438C1"/>
    <w:rsid w:val="00544504"/>
    <w:rsid w:val="0054457A"/>
    <w:rsid w:val="00544F1A"/>
    <w:rsid w:val="005450F9"/>
    <w:rsid w:val="0054532A"/>
    <w:rsid w:val="00545812"/>
    <w:rsid w:val="00545B3D"/>
    <w:rsid w:val="00546086"/>
    <w:rsid w:val="00546DE5"/>
    <w:rsid w:val="00547168"/>
    <w:rsid w:val="0054724E"/>
    <w:rsid w:val="00547285"/>
    <w:rsid w:val="005479A8"/>
    <w:rsid w:val="00547A21"/>
    <w:rsid w:val="00547B0D"/>
    <w:rsid w:val="00547E20"/>
    <w:rsid w:val="00550045"/>
    <w:rsid w:val="0055028B"/>
    <w:rsid w:val="005521E8"/>
    <w:rsid w:val="00552339"/>
    <w:rsid w:val="0055276A"/>
    <w:rsid w:val="00553378"/>
    <w:rsid w:val="00553549"/>
    <w:rsid w:val="00554A8E"/>
    <w:rsid w:val="00554B10"/>
    <w:rsid w:val="00556601"/>
    <w:rsid w:val="00556C7C"/>
    <w:rsid w:val="005570BB"/>
    <w:rsid w:val="00557FE2"/>
    <w:rsid w:val="0056057C"/>
    <w:rsid w:val="00560D39"/>
    <w:rsid w:val="00561682"/>
    <w:rsid w:val="005617E3"/>
    <w:rsid w:val="00561A5E"/>
    <w:rsid w:val="00561B32"/>
    <w:rsid w:val="00561B38"/>
    <w:rsid w:val="005622BC"/>
    <w:rsid w:val="0056248B"/>
    <w:rsid w:val="005624DE"/>
    <w:rsid w:val="00562616"/>
    <w:rsid w:val="00562653"/>
    <w:rsid w:val="0056278F"/>
    <w:rsid w:val="00562A6F"/>
    <w:rsid w:val="00562ADD"/>
    <w:rsid w:val="00562DA3"/>
    <w:rsid w:val="005633B4"/>
    <w:rsid w:val="00563404"/>
    <w:rsid w:val="00563694"/>
    <w:rsid w:val="005637DD"/>
    <w:rsid w:val="00564230"/>
    <w:rsid w:val="0056463D"/>
    <w:rsid w:val="00564BD1"/>
    <w:rsid w:val="00565B36"/>
    <w:rsid w:val="00565B79"/>
    <w:rsid w:val="00565DA0"/>
    <w:rsid w:val="005664D8"/>
    <w:rsid w:val="005667B1"/>
    <w:rsid w:val="00567193"/>
    <w:rsid w:val="00567570"/>
    <w:rsid w:val="00567F0B"/>
    <w:rsid w:val="005700C0"/>
    <w:rsid w:val="00570231"/>
    <w:rsid w:val="00570863"/>
    <w:rsid w:val="00570A1F"/>
    <w:rsid w:val="0057106C"/>
    <w:rsid w:val="005729E9"/>
    <w:rsid w:val="0057307F"/>
    <w:rsid w:val="005731CF"/>
    <w:rsid w:val="0057399E"/>
    <w:rsid w:val="0057400A"/>
    <w:rsid w:val="00574B2F"/>
    <w:rsid w:val="00574E16"/>
    <w:rsid w:val="005762B0"/>
    <w:rsid w:val="005764D6"/>
    <w:rsid w:val="00576706"/>
    <w:rsid w:val="00576C43"/>
    <w:rsid w:val="0057700E"/>
    <w:rsid w:val="0057726A"/>
    <w:rsid w:val="00577275"/>
    <w:rsid w:val="00577325"/>
    <w:rsid w:val="0057776B"/>
    <w:rsid w:val="005779EA"/>
    <w:rsid w:val="00577A5C"/>
    <w:rsid w:val="00577C66"/>
    <w:rsid w:val="005807A2"/>
    <w:rsid w:val="0058087D"/>
    <w:rsid w:val="00580E0E"/>
    <w:rsid w:val="00581516"/>
    <w:rsid w:val="00581617"/>
    <w:rsid w:val="00581CF0"/>
    <w:rsid w:val="00582868"/>
    <w:rsid w:val="00582EEE"/>
    <w:rsid w:val="00583361"/>
    <w:rsid w:val="005834C4"/>
    <w:rsid w:val="0058466C"/>
    <w:rsid w:val="0058485B"/>
    <w:rsid w:val="005850C7"/>
    <w:rsid w:val="005853A4"/>
    <w:rsid w:val="0058577B"/>
    <w:rsid w:val="00585DBC"/>
    <w:rsid w:val="00585FA1"/>
    <w:rsid w:val="00586F96"/>
    <w:rsid w:val="00587845"/>
    <w:rsid w:val="005878BF"/>
    <w:rsid w:val="00587D8D"/>
    <w:rsid w:val="00590258"/>
    <w:rsid w:val="00590A6C"/>
    <w:rsid w:val="00590F78"/>
    <w:rsid w:val="0059122F"/>
    <w:rsid w:val="005924A0"/>
    <w:rsid w:val="00592768"/>
    <w:rsid w:val="00592F7F"/>
    <w:rsid w:val="0059384C"/>
    <w:rsid w:val="00593E78"/>
    <w:rsid w:val="0059411B"/>
    <w:rsid w:val="0059412D"/>
    <w:rsid w:val="00594158"/>
    <w:rsid w:val="00594414"/>
    <w:rsid w:val="0059582E"/>
    <w:rsid w:val="00595BB9"/>
    <w:rsid w:val="00596D01"/>
    <w:rsid w:val="0059755E"/>
    <w:rsid w:val="00597924"/>
    <w:rsid w:val="00597F5C"/>
    <w:rsid w:val="005A0542"/>
    <w:rsid w:val="005A0A8F"/>
    <w:rsid w:val="005A0B06"/>
    <w:rsid w:val="005A0EFC"/>
    <w:rsid w:val="005A1BD2"/>
    <w:rsid w:val="005A205C"/>
    <w:rsid w:val="005A20AE"/>
    <w:rsid w:val="005A24BE"/>
    <w:rsid w:val="005A2B5E"/>
    <w:rsid w:val="005A2DA0"/>
    <w:rsid w:val="005A2F86"/>
    <w:rsid w:val="005A45BD"/>
    <w:rsid w:val="005A46BB"/>
    <w:rsid w:val="005A690E"/>
    <w:rsid w:val="005A72B2"/>
    <w:rsid w:val="005A756D"/>
    <w:rsid w:val="005B00F0"/>
    <w:rsid w:val="005B0181"/>
    <w:rsid w:val="005B02CE"/>
    <w:rsid w:val="005B053E"/>
    <w:rsid w:val="005B091A"/>
    <w:rsid w:val="005B0938"/>
    <w:rsid w:val="005B0F24"/>
    <w:rsid w:val="005B156B"/>
    <w:rsid w:val="005B164E"/>
    <w:rsid w:val="005B197A"/>
    <w:rsid w:val="005B1EB6"/>
    <w:rsid w:val="005B20BE"/>
    <w:rsid w:val="005B227A"/>
    <w:rsid w:val="005B2BBE"/>
    <w:rsid w:val="005B2CA0"/>
    <w:rsid w:val="005B3543"/>
    <w:rsid w:val="005B358E"/>
    <w:rsid w:val="005B3900"/>
    <w:rsid w:val="005B3DEA"/>
    <w:rsid w:val="005B3E2C"/>
    <w:rsid w:val="005B473A"/>
    <w:rsid w:val="005B55B1"/>
    <w:rsid w:val="005B597A"/>
    <w:rsid w:val="005B5B74"/>
    <w:rsid w:val="005B61DB"/>
    <w:rsid w:val="005B65F9"/>
    <w:rsid w:val="005B6723"/>
    <w:rsid w:val="005B697C"/>
    <w:rsid w:val="005B6CA2"/>
    <w:rsid w:val="005B6FFF"/>
    <w:rsid w:val="005B7500"/>
    <w:rsid w:val="005B7AC6"/>
    <w:rsid w:val="005B7EAE"/>
    <w:rsid w:val="005C047B"/>
    <w:rsid w:val="005C0793"/>
    <w:rsid w:val="005C0CF1"/>
    <w:rsid w:val="005C17BC"/>
    <w:rsid w:val="005C1BB6"/>
    <w:rsid w:val="005C1CC2"/>
    <w:rsid w:val="005C1E47"/>
    <w:rsid w:val="005C253F"/>
    <w:rsid w:val="005C2BF5"/>
    <w:rsid w:val="005C3061"/>
    <w:rsid w:val="005C30EA"/>
    <w:rsid w:val="005C352D"/>
    <w:rsid w:val="005C3666"/>
    <w:rsid w:val="005C3681"/>
    <w:rsid w:val="005C3995"/>
    <w:rsid w:val="005C4993"/>
    <w:rsid w:val="005C55B4"/>
    <w:rsid w:val="005C5955"/>
    <w:rsid w:val="005C622B"/>
    <w:rsid w:val="005C6670"/>
    <w:rsid w:val="005C6E26"/>
    <w:rsid w:val="005C71F6"/>
    <w:rsid w:val="005C72E9"/>
    <w:rsid w:val="005C7567"/>
    <w:rsid w:val="005C7637"/>
    <w:rsid w:val="005C7886"/>
    <w:rsid w:val="005C790E"/>
    <w:rsid w:val="005D06CE"/>
    <w:rsid w:val="005D070B"/>
    <w:rsid w:val="005D0D67"/>
    <w:rsid w:val="005D16E2"/>
    <w:rsid w:val="005D2A72"/>
    <w:rsid w:val="005D2B22"/>
    <w:rsid w:val="005D30AB"/>
    <w:rsid w:val="005D380F"/>
    <w:rsid w:val="005D388B"/>
    <w:rsid w:val="005D3905"/>
    <w:rsid w:val="005D3A3F"/>
    <w:rsid w:val="005D3C5B"/>
    <w:rsid w:val="005D457C"/>
    <w:rsid w:val="005D463B"/>
    <w:rsid w:val="005D4663"/>
    <w:rsid w:val="005D46BF"/>
    <w:rsid w:val="005D475B"/>
    <w:rsid w:val="005D49CB"/>
    <w:rsid w:val="005D4CE1"/>
    <w:rsid w:val="005D511C"/>
    <w:rsid w:val="005D5187"/>
    <w:rsid w:val="005D5CEA"/>
    <w:rsid w:val="005D5D50"/>
    <w:rsid w:val="005D65AB"/>
    <w:rsid w:val="005D7019"/>
    <w:rsid w:val="005D76CE"/>
    <w:rsid w:val="005D7B66"/>
    <w:rsid w:val="005D7DBD"/>
    <w:rsid w:val="005E0269"/>
    <w:rsid w:val="005E0CD2"/>
    <w:rsid w:val="005E26A0"/>
    <w:rsid w:val="005E2AA5"/>
    <w:rsid w:val="005E2ACD"/>
    <w:rsid w:val="005E2D9E"/>
    <w:rsid w:val="005E356F"/>
    <w:rsid w:val="005E397E"/>
    <w:rsid w:val="005E3CF1"/>
    <w:rsid w:val="005E4753"/>
    <w:rsid w:val="005E4E4B"/>
    <w:rsid w:val="005E4E70"/>
    <w:rsid w:val="005E509A"/>
    <w:rsid w:val="005E620F"/>
    <w:rsid w:val="005E6261"/>
    <w:rsid w:val="005E638B"/>
    <w:rsid w:val="005E63F2"/>
    <w:rsid w:val="005E64AA"/>
    <w:rsid w:val="005E69B7"/>
    <w:rsid w:val="005E6C57"/>
    <w:rsid w:val="005E7A13"/>
    <w:rsid w:val="005E7F90"/>
    <w:rsid w:val="005F06D0"/>
    <w:rsid w:val="005F146A"/>
    <w:rsid w:val="005F24B7"/>
    <w:rsid w:val="005F49BD"/>
    <w:rsid w:val="005F4A31"/>
    <w:rsid w:val="005F4FEE"/>
    <w:rsid w:val="005F66EF"/>
    <w:rsid w:val="005F6869"/>
    <w:rsid w:val="005F6A1F"/>
    <w:rsid w:val="005F6A57"/>
    <w:rsid w:val="005F73A9"/>
    <w:rsid w:val="005F780E"/>
    <w:rsid w:val="005F7CE7"/>
    <w:rsid w:val="00600203"/>
    <w:rsid w:val="00600B74"/>
    <w:rsid w:val="00600FBE"/>
    <w:rsid w:val="006026EF"/>
    <w:rsid w:val="006030B0"/>
    <w:rsid w:val="0060320A"/>
    <w:rsid w:val="00603B8A"/>
    <w:rsid w:val="00603F69"/>
    <w:rsid w:val="00604254"/>
    <w:rsid w:val="006049AB"/>
    <w:rsid w:val="006059EA"/>
    <w:rsid w:val="00606273"/>
    <w:rsid w:val="00606ED4"/>
    <w:rsid w:val="00607050"/>
    <w:rsid w:val="006079A5"/>
    <w:rsid w:val="006079BC"/>
    <w:rsid w:val="00610159"/>
    <w:rsid w:val="00610269"/>
    <w:rsid w:val="00610290"/>
    <w:rsid w:val="00610660"/>
    <w:rsid w:val="00610749"/>
    <w:rsid w:val="00610C59"/>
    <w:rsid w:val="00610D49"/>
    <w:rsid w:val="0061132A"/>
    <w:rsid w:val="00611AFB"/>
    <w:rsid w:val="00611B9C"/>
    <w:rsid w:val="00612059"/>
    <w:rsid w:val="006125F1"/>
    <w:rsid w:val="00612948"/>
    <w:rsid w:val="00612B02"/>
    <w:rsid w:val="00612EF1"/>
    <w:rsid w:val="00613364"/>
    <w:rsid w:val="0061347D"/>
    <w:rsid w:val="00613C05"/>
    <w:rsid w:val="00613F9A"/>
    <w:rsid w:val="0061417E"/>
    <w:rsid w:val="00614186"/>
    <w:rsid w:val="006142B9"/>
    <w:rsid w:val="006143E1"/>
    <w:rsid w:val="00614A05"/>
    <w:rsid w:val="00614A83"/>
    <w:rsid w:val="00614A95"/>
    <w:rsid w:val="006151E3"/>
    <w:rsid w:val="00615742"/>
    <w:rsid w:val="00615794"/>
    <w:rsid w:val="00615DE2"/>
    <w:rsid w:val="00616ED5"/>
    <w:rsid w:val="00616F86"/>
    <w:rsid w:val="00617A68"/>
    <w:rsid w:val="00617B9D"/>
    <w:rsid w:val="00620141"/>
    <w:rsid w:val="006208F7"/>
    <w:rsid w:val="00620DC6"/>
    <w:rsid w:val="00620F31"/>
    <w:rsid w:val="00621C05"/>
    <w:rsid w:val="00622909"/>
    <w:rsid w:val="00623317"/>
    <w:rsid w:val="006235A0"/>
    <w:rsid w:val="0062381E"/>
    <w:rsid w:val="00623BC9"/>
    <w:rsid w:val="00624748"/>
    <w:rsid w:val="0062482F"/>
    <w:rsid w:val="00624B35"/>
    <w:rsid w:val="00624CE9"/>
    <w:rsid w:val="0062518D"/>
    <w:rsid w:val="00625388"/>
    <w:rsid w:val="00625405"/>
    <w:rsid w:val="00625550"/>
    <w:rsid w:val="00625978"/>
    <w:rsid w:val="00625C9D"/>
    <w:rsid w:val="006266D9"/>
    <w:rsid w:val="006268FC"/>
    <w:rsid w:val="006271BD"/>
    <w:rsid w:val="00627572"/>
    <w:rsid w:val="0062775D"/>
    <w:rsid w:val="006309E4"/>
    <w:rsid w:val="00630A6C"/>
    <w:rsid w:val="00630DCC"/>
    <w:rsid w:val="00630F3F"/>
    <w:rsid w:val="006319D6"/>
    <w:rsid w:val="00631BCD"/>
    <w:rsid w:val="00632B67"/>
    <w:rsid w:val="00633165"/>
    <w:rsid w:val="006336FA"/>
    <w:rsid w:val="0063396F"/>
    <w:rsid w:val="00633F2F"/>
    <w:rsid w:val="00633F74"/>
    <w:rsid w:val="00634047"/>
    <w:rsid w:val="00634731"/>
    <w:rsid w:val="006347E6"/>
    <w:rsid w:val="00634875"/>
    <w:rsid w:val="00635F31"/>
    <w:rsid w:val="0063616E"/>
    <w:rsid w:val="00636516"/>
    <w:rsid w:val="006367B1"/>
    <w:rsid w:val="00636EC9"/>
    <w:rsid w:val="0063701F"/>
    <w:rsid w:val="00637543"/>
    <w:rsid w:val="00637B2D"/>
    <w:rsid w:val="00640C7B"/>
    <w:rsid w:val="00641793"/>
    <w:rsid w:val="00642010"/>
    <w:rsid w:val="00642583"/>
    <w:rsid w:val="0064338B"/>
    <w:rsid w:val="0064496F"/>
    <w:rsid w:val="00645486"/>
    <w:rsid w:val="006456AF"/>
    <w:rsid w:val="0064590A"/>
    <w:rsid w:val="006475E0"/>
    <w:rsid w:val="006502B4"/>
    <w:rsid w:val="0065072F"/>
    <w:rsid w:val="00651960"/>
    <w:rsid w:val="00653028"/>
    <w:rsid w:val="00653120"/>
    <w:rsid w:val="00653924"/>
    <w:rsid w:val="00654125"/>
    <w:rsid w:val="00654186"/>
    <w:rsid w:val="00654603"/>
    <w:rsid w:val="00654937"/>
    <w:rsid w:val="00654CF2"/>
    <w:rsid w:val="00655291"/>
    <w:rsid w:val="00655EAC"/>
    <w:rsid w:val="00655F12"/>
    <w:rsid w:val="006561E7"/>
    <w:rsid w:val="006563CE"/>
    <w:rsid w:val="0065647E"/>
    <w:rsid w:val="00656814"/>
    <w:rsid w:val="0065693D"/>
    <w:rsid w:val="00657DE1"/>
    <w:rsid w:val="00660004"/>
    <w:rsid w:val="0066043C"/>
    <w:rsid w:val="00661722"/>
    <w:rsid w:val="006619A6"/>
    <w:rsid w:val="00662133"/>
    <w:rsid w:val="00662237"/>
    <w:rsid w:val="0066228B"/>
    <w:rsid w:val="006624D8"/>
    <w:rsid w:val="00662537"/>
    <w:rsid w:val="00662800"/>
    <w:rsid w:val="00663875"/>
    <w:rsid w:val="00663A0C"/>
    <w:rsid w:val="006641FC"/>
    <w:rsid w:val="006649EC"/>
    <w:rsid w:val="00664BDF"/>
    <w:rsid w:val="006659E6"/>
    <w:rsid w:val="00665B73"/>
    <w:rsid w:val="0066604E"/>
    <w:rsid w:val="0066621B"/>
    <w:rsid w:val="006666FB"/>
    <w:rsid w:val="006669C0"/>
    <w:rsid w:val="00666A0D"/>
    <w:rsid w:val="006672D1"/>
    <w:rsid w:val="0066730D"/>
    <w:rsid w:val="00667C93"/>
    <w:rsid w:val="00667F21"/>
    <w:rsid w:val="006700B5"/>
    <w:rsid w:val="0067057E"/>
    <w:rsid w:val="0067087D"/>
    <w:rsid w:val="00670E77"/>
    <w:rsid w:val="00670EB7"/>
    <w:rsid w:val="006714BE"/>
    <w:rsid w:val="0067157A"/>
    <w:rsid w:val="0067171F"/>
    <w:rsid w:val="006719EC"/>
    <w:rsid w:val="00672334"/>
    <w:rsid w:val="006726DA"/>
    <w:rsid w:val="00672E53"/>
    <w:rsid w:val="00672FAC"/>
    <w:rsid w:val="006736B0"/>
    <w:rsid w:val="006736FE"/>
    <w:rsid w:val="00673EED"/>
    <w:rsid w:val="00673F94"/>
    <w:rsid w:val="006740D2"/>
    <w:rsid w:val="0067457C"/>
    <w:rsid w:val="00674ED0"/>
    <w:rsid w:val="0067503F"/>
    <w:rsid w:val="00675899"/>
    <w:rsid w:val="006759CF"/>
    <w:rsid w:val="00675BFC"/>
    <w:rsid w:val="00675F8E"/>
    <w:rsid w:val="006767BC"/>
    <w:rsid w:val="006773C2"/>
    <w:rsid w:val="006801F6"/>
    <w:rsid w:val="006806F4"/>
    <w:rsid w:val="00680D0D"/>
    <w:rsid w:val="00680F0A"/>
    <w:rsid w:val="00681379"/>
    <w:rsid w:val="006816EB"/>
    <w:rsid w:val="0068198E"/>
    <w:rsid w:val="00682001"/>
    <w:rsid w:val="00682795"/>
    <w:rsid w:val="006827EF"/>
    <w:rsid w:val="00682843"/>
    <w:rsid w:val="00683445"/>
    <w:rsid w:val="0068482D"/>
    <w:rsid w:val="00684AF3"/>
    <w:rsid w:val="006853D3"/>
    <w:rsid w:val="006855C1"/>
    <w:rsid w:val="00685DB7"/>
    <w:rsid w:val="006862E6"/>
    <w:rsid w:val="006864A8"/>
    <w:rsid w:val="00686F75"/>
    <w:rsid w:val="006871EE"/>
    <w:rsid w:val="00687976"/>
    <w:rsid w:val="00687BDC"/>
    <w:rsid w:val="00687C81"/>
    <w:rsid w:val="00687D0C"/>
    <w:rsid w:val="00687DE7"/>
    <w:rsid w:val="0069022C"/>
    <w:rsid w:val="00690342"/>
    <w:rsid w:val="006904CD"/>
    <w:rsid w:val="0069078F"/>
    <w:rsid w:val="00690C7F"/>
    <w:rsid w:val="00691608"/>
    <w:rsid w:val="00692C17"/>
    <w:rsid w:val="00692DAD"/>
    <w:rsid w:val="00693271"/>
    <w:rsid w:val="00693355"/>
    <w:rsid w:val="00693C9F"/>
    <w:rsid w:val="006943CD"/>
    <w:rsid w:val="0069458A"/>
    <w:rsid w:val="0069458E"/>
    <w:rsid w:val="00694A63"/>
    <w:rsid w:val="00695177"/>
    <w:rsid w:val="006958F4"/>
    <w:rsid w:val="00695B00"/>
    <w:rsid w:val="00696FA3"/>
    <w:rsid w:val="00697163"/>
    <w:rsid w:val="0069718B"/>
    <w:rsid w:val="00697F74"/>
    <w:rsid w:val="006A002B"/>
    <w:rsid w:val="006A07D3"/>
    <w:rsid w:val="006A1B8E"/>
    <w:rsid w:val="006A2AA1"/>
    <w:rsid w:val="006A2EFF"/>
    <w:rsid w:val="006A3168"/>
    <w:rsid w:val="006A3238"/>
    <w:rsid w:val="006A32D8"/>
    <w:rsid w:val="006A36FC"/>
    <w:rsid w:val="006A3CC3"/>
    <w:rsid w:val="006A40A2"/>
    <w:rsid w:val="006A4303"/>
    <w:rsid w:val="006A4C0A"/>
    <w:rsid w:val="006A5B2E"/>
    <w:rsid w:val="006A5CC5"/>
    <w:rsid w:val="006A5D29"/>
    <w:rsid w:val="006A615F"/>
    <w:rsid w:val="006A660D"/>
    <w:rsid w:val="006A742F"/>
    <w:rsid w:val="006A7567"/>
    <w:rsid w:val="006A7938"/>
    <w:rsid w:val="006A7D17"/>
    <w:rsid w:val="006B04DD"/>
    <w:rsid w:val="006B05F8"/>
    <w:rsid w:val="006B0773"/>
    <w:rsid w:val="006B103E"/>
    <w:rsid w:val="006B11DD"/>
    <w:rsid w:val="006B1448"/>
    <w:rsid w:val="006B14F1"/>
    <w:rsid w:val="006B179C"/>
    <w:rsid w:val="006B1A07"/>
    <w:rsid w:val="006B24CF"/>
    <w:rsid w:val="006B3232"/>
    <w:rsid w:val="006B39FE"/>
    <w:rsid w:val="006B3CA4"/>
    <w:rsid w:val="006B3D33"/>
    <w:rsid w:val="006B3DAB"/>
    <w:rsid w:val="006B3F61"/>
    <w:rsid w:val="006B4C5C"/>
    <w:rsid w:val="006B59E4"/>
    <w:rsid w:val="006B5AAD"/>
    <w:rsid w:val="006B5B54"/>
    <w:rsid w:val="006B5FC5"/>
    <w:rsid w:val="006B6998"/>
    <w:rsid w:val="006B6ACC"/>
    <w:rsid w:val="006B6B67"/>
    <w:rsid w:val="006B6BB7"/>
    <w:rsid w:val="006B781A"/>
    <w:rsid w:val="006C0115"/>
    <w:rsid w:val="006C06FB"/>
    <w:rsid w:val="006C10EA"/>
    <w:rsid w:val="006C1109"/>
    <w:rsid w:val="006C1287"/>
    <w:rsid w:val="006C1353"/>
    <w:rsid w:val="006C1CC5"/>
    <w:rsid w:val="006C1CE0"/>
    <w:rsid w:val="006C2108"/>
    <w:rsid w:val="006C232E"/>
    <w:rsid w:val="006C2931"/>
    <w:rsid w:val="006C2B75"/>
    <w:rsid w:val="006C3188"/>
    <w:rsid w:val="006C3287"/>
    <w:rsid w:val="006C4057"/>
    <w:rsid w:val="006C4533"/>
    <w:rsid w:val="006C4B2D"/>
    <w:rsid w:val="006C4F61"/>
    <w:rsid w:val="006C503D"/>
    <w:rsid w:val="006C5063"/>
    <w:rsid w:val="006C6344"/>
    <w:rsid w:val="006C64DC"/>
    <w:rsid w:val="006C6666"/>
    <w:rsid w:val="006C6795"/>
    <w:rsid w:val="006C6F55"/>
    <w:rsid w:val="006C72E8"/>
    <w:rsid w:val="006C7A51"/>
    <w:rsid w:val="006D033E"/>
    <w:rsid w:val="006D05C5"/>
    <w:rsid w:val="006D05F4"/>
    <w:rsid w:val="006D171C"/>
    <w:rsid w:val="006D1B58"/>
    <w:rsid w:val="006D1ECB"/>
    <w:rsid w:val="006D1EF6"/>
    <w:rsid w:val="006D1F74"/>
    <w:rsid w:val="006D2EAF"/>
    <w:rsid w:val="006D3128"/>
    <w:rsid w:val="006D329D"/>
    <w:rsid w:val="006D33BF"/>
    <w:rsid w:val="006D36C1"/>
    <w:rsid w:val="006D4323"/>
    <w:rsid w:val="006D473F"/>
    <w:rsid w:val="006D5C30"/>
    <w:rsid w:val="006D61D1"/>
    <w:rsid w:val="006D6958"/>
    <w:rsid w:val="006D6EF0"/>
    <w:rsid w:val="006D71B7"/>
    <w:rsid w:val="006E014F"/>
    <w:rsid w:val="006E0760"/>
    <w:rsid w:val="006E0A70"/>
    <w:rsid w:val="006E19B9"/>
    <w:rsid w:val="006E1DBC"/>
    <w:rsid w:val="006E2235"/>
    <w:rsid w:val="006E2246"/>
    <w:rsid w:val="006E2443"/>
    <w:rsid w:val="006E24E3"/>
    <w:rsid w:val="006E2956"/>
    <w:rsid w:val="006E2958"/>
    <w:rsid w:val="006E2A62"/>
    <w:rsid w:val="006E2A8D"/>
    <w:rsid w:val="006E2E5B"/>
    <w:rsid w:val="006E2F07"/>
    <w:rsid w:val="006E31CE"/>
    <w:rsid w:val="006E3A0D"/>
    <w:rsid w:val="006E3BED"/>
    <w:rsid w:val="006E4294"/>
    <w:rsid w:val="006E42EE"/>
    <w:rsid w:val="006E4388"/>
    <w:rsid w:val="006E4A38"/>
    <w:rsid w:val="006E4A9C"/>
    <w:rsid w:val="006E4B3F"/>
    <w:rsid w:val="006E4BF3"/>
    <w:rsid w:val="006E4BFE"/>
    <w:rsid w:val="006E4F22"/>
    <w:rsid w:val="006E5187"/>
    <w:rsid w:val="006E54BE"/>
    <w:rsid w:val="006E5CE2"/>
    <w:rsid w:val="006E5FC3"/>
    <w:rsid w:val="006E6319"/>
    <w:rsid w:val="006E6582"/>
    <w:rsid w:val="006E7207"/>
    <w:rsid w:val="006E7EA9"/>
    <w:rsid w:val="006F0775"/>
    <w:rsid w:val="006F0CB8"/>
    <w:rsid w:val="006F250C"/>
    <w:rsid w:val="006F29DA"/>
    <w:rsid w:val="006F2B3D"/>
    <w:rsid w:val="006F41EB"/>
    <w:rsid w:val="006F4947"/>
    <w:rsid w:val="006F4B30"/>
    <w:rsid w:val="006F5139"/>
    <w:rsid w:val="006F55F0"/>
    <w:rsid w:val="006F615E"/>
    <w:rsid w:val="006F618D"/>
    <w:rsid w:val="006F76FA"/>
    <w:rsid w:val="006F78EF"/>
    <w:rsid w:val="006F7B07"/>
    <w:rsid w:val="006F7D04"/>
    <w:rsid w:val="007002CD"/>
    <w:rsid w:val="0070034B"/>
    <w:rsid w:val="007005C4"/>
    <w:rsid w:val="00701350"/>
    <w:rsid w:val="007016E4"/>
    <w:rsid w:val="00701718"/>
    <w:rsid w:val="0070177C"/>
    <w:rsid w:val="00701EFA"/>
    <w:rsid w:val="00701FF6"/>
    <w:rsid w:val="00702997"/>
    <w:rsid w:val="00702DCB"/>
    <w:rsid w:val="007030F5"/>
    <w:rsid w:val="00703936"/>
    <w:rsid w:val="007040BA"/>
    <w:rsid w:val="00704566"/>
    <w:rsid w:val="0070457F"/>
    <w:rsid w:val="00704763"/>
    <w:rsid w:val="007047E3"/>
    <w:rsid w:val="00704DC3"/>
    <w:rsid w:val="00704E1B"/>
    <w:rsid w:val="00705232"/>
    <w:rsid w:val="00705696"/>
    <w:rsid w:val="00705AC9"/>
    <w:rsid w:val="00705CDA"/>
    <w:rsid w:val="00705E90"/>
    <w:rsid w:val="0070603D"/>
    <w:rsid w:val="00706496"/>
    <w:rsid w:val="007066F3"/>
    <w:rsid w:val="0070689D"/>
    <w:rsid w:val="00706BDE"/>
    <w:rsid w:val="00706CD3"/>
    <w:rsid w:val="00707560"/>
    <w:rsid w:val="00707882"/>
    <w:rsid w:val="007078B3"/>
    <w:rsid w:val="00710754"/>
    <w:rsid w:val="00710CC1"/>
    <w:rsid w:val="00710F17"/>
    <w:rsid w:val="0071105B"/>
    <w:rsid w:val="0071125B"/>
    <w:rsid w:val="007118E9"/>
    <w:rsid w:val="007121AD"/>
    <w:rsid w:val="00712272"/>
    <w:rsid w:val="007124DA"/>
    <w:rsid w:val="0071294E"/>
    <w:rsid w:val="007129C9"/>
    <w:rsid w:val="00712B62"/>
    <w:rsid w:val="00712F0E"/>
    <w:rsid w:val="00713092"/>
    <w:rsid w:val="007132FD"/>
    <w:rsid w:val="0071351E"/>
    <w:rsid w:val="007138B1"/>
    <w:rsid w:val="00714173"/>
    <w:rsid w:val="00714329"/>
    <w:rsid w:val="00714853"/>
    <w:rsid w:val="00714F52"/>
    <w:rsid w:val="0071512B"/>
    <w:rsid w:val="0071513E"/>
    <w:rsid w:val="00715667"/>
    <w:rsid w:val="007157A7"/>
    <w:rsid w:val="00716D48"/>
    <w:rsid w:val="0071755E"/>
    <w:rsid w:val="00717919"/>
    <w:rsid w:val="00717941"/>
    <w:rsid w:val="007201C2"/>
    <w:rsid w:val="0072088A"/>
    <w:rsid w:val="0072131D"/>
    <w:rsid w:val="00721D8E"/>
    <w:rsid w:val="00722160"/>
    <w:rsid w:val="00722794"/>
    <w:rsid w:val="00723079"/>
    <w:rsid w:val="00723684"/>
    <w:rsid w:val="00723A10"/>
    <w:rsid w:val="00724A19"/>
    <w:rsid w:val="0072514E"/>
    <w:rsid w:val="00725A8A"/>
    <w:rsid w:val="007264E4"/>
    <w:rsid w:val="0072715A"/>
    <w:rsid w:val="00727DC6"/>
    <w:rsid w:val="007302D4"/>
    <w:rsid w:val="00730467"/>
    <w:rsid w:val="00730BAB"/>
    <w:rsid w:val="00730D2B"/>
    <w:rsid w:val="0073124A"/>
    <w:rsid w:val="00731581"/>
    <w:rsid w:val="00731784"/>
    <w:rsid w:val="00731890"/>
    <w:rsid w:val="007318A6"/>
    <w:rsid w:val="00731BEF"/>
    <w:rsid w:val="007326E8"/>
    <w:rsid w:val="007328C7"/>
    <w:rsid w:val="00732A69"/>
    <w:rsid w:val="00732B91"/>
    <w:rsid w:val="00733098"/>
    <w:rsid w:val="0073323D"/>
    <w:rsid w:val="007332FE"/>
    <w:rsid w:val="00733520"/>
    <w:rsid w:val="0073355A"/>
    <w:rsid w:val="007347B8"/>
    <w:rsid w:val="0073499D"/>
    <w:rsid w:val="00734B1A"/>
    <w:rsid w:val="00734B96"/>
    <w:rsid w:val="00734ECF"/>
    <w:rsid w:val="00735CBE"/>
    <w:rsid w:val="00736550"/>
    <w:rsid w:val="00736872"/>
    <w:rsid w:val="00736D7B"/>
    <w:rsid w:val="00736F47"/>
    <w:rsid w:val="0073731D"/>
    <w:rsid w:val="007376DB"/>
    <w:rsid w:val="007377EE"/>
    <w:rsid w:val="00737A0E"/>
    <w:rsid w:val="00737C29"/>
    <w:rsid w:val="007408E6"/>
    <w:rsid w:val="00740C0F"/>
    <w:rsid w:val="00741B50"/>
    <w:rsid w:val="00741D09"/>
    <w:rsid w:val="00741EFE"/>
    <w:rsid w:val="00741F59"/>
    <w:rsid w:val="00741F8A"/>
    <w:rsid w:val="007423B5"/>
    <w:rsid w:val="007438A0"/>
    <w:rsid w:val="00743967"/>
    <w:rsid w:val="00743C6C"/>
    <w:rsid w:val="0074422A"/>
    <w:rsid w:val="0074463A"/>
    <w:rsid w:val="00744750"/>
    <w:rsid w:val="00744E9A"/>
    <w:rsid w:val="00744EDF"/>
    <w:rsid w:val="0074530D"/>
    <w:rsid w:val="0074546E"/>
    <w:rsid w:val="007455E5"/>
    <w:rsid w:val="007455F7"/>
    <w:rsid w:val="007457B4"/>
    <w:rsid w:val="00745DD8"/>
    <w:rsid w:val="00745FDC"/>
    <w:rsid w:val="007464FC"/>
    <w:rsid w:val="00746F70"/>
    <w:rsid w:val="007474B6"/>
    <w:rsid w:val="0074760C"/>
    <w:rsid w:val="00747A8B"/>
    <w:rsid w:val="00747EF3"/>
    <w:rsid w:val="00750E52"/>
    <w:rsid w:val="007518DF"/>
    <w:rsid w:val="007518EB"/>
    <w:rsid w:val="00751CC8"/>
    <w:rsid w:val="0075271A"/>
    <w:rsid w:val="00752771"/>
    <w:rsid w:val="00752BB4"/>
    <w:rsid w:val="00753458"/>
    <w:rsid w:val="00753D3B"/>
    <w:rsid w:val="00754EAF"/>
    <w:rsid w:val="00755075"/>
    <w:rsid w:val="00755BD3"/>
    <w:rsid w:val="00755F37"/>
    <w:rsid w:val="00756185"/>
    <w:rsid w:val="00756A0E"/>
    <w:rsid w:val="00756F7C"/>
    <w:rsid w:val="00757056"/>
    <w:rsid w:val="00757E10"/>
    <w:rsid w:val="00757FC2"/>
    <w:rsid w:val="0076042E"/>
    <w:rsid w:val="00760AB3"/>
    <w:rsid w:val="00761054"/>
    <w:rsid w:val="007611C7"/>
    <w:rsid w:val="0076177E"/>
    <w:rsid w:val="00761A57"/>
    <w:rsid w:val="0076213D"/>
    <w:rsid w:val="00762709"/>
    <w:rsid w:val="00764968"/>
    <w:rsid w:val="00764D0A"/>
    <w:rsid w:val="00765661"/>
    <w:rsid w:val="007659EC"/>
    <w:rsid w:val="00765A6C"/>
    <w:rsid w:val="007660C2"/>
    <w:rsid w:val="00766AE6"/>
    <w:rsid w:val="00767181"/>
    <w:rsid w:val="007701B1"/>
    <w:rsid w:val="007716CF"/>
    <w:rsid w:val="00771760"/>
    <w:rsid w:val="00771E45"/>
    <w:rsid w:val="00772649"/>
    <w:rsid w:val="007729A2"/>
    <w:rsid w:val="00772BE7"/>
    <w:rsid w:val="00772C5F"/>
    <w:rsid w:val="00772FC1"/>
    <w:rsid w:val="007740DD"/>
    <w:rsid w:val="007744A0"/>
    <w:rsid w:val="00774667"/>
    <w:rsid w:val="00774F4B"/>
    <w:rsid w:val="007756A4"/>
    <w:rsid w:val="00775B29"/>
    <w:rsid w:val="007768AD"/>
    <w:rsid w:val="00776987"/>
    <w:rsid w:val="00776B96"/>
    <w:rsid w:val="00776DAC"/>
    <w:rsid w:val="007770A2"/>
    <w:rsid w:val="00777B66"/>
    <w:rsid w:val="0078079E"/>
    <w:rsid w:val="00780FC3"/>
    <w:rsid w:val="00781101"/>
    <w:rsid w:val="0078127B"/>
    <w:rsid w:val="0078185B"/>
    <w:rsid w:val="00782C9A"/>
    <w:rsid w:val="00782D97"/>
    <w:rsid w:val="00782E5A"/>
    <w:rsid w:val="0078622B"/>
    <w:rsid w:val="007862E3"/>
    <w:rsid w:val="0078644A"/>
    <w:rsid w:val="00786A42"/>
    <w:rsid w:val="00786E47"/>
    <w:rsid w:val="0078704C"/>
    <w:rsid w:val="0078720C"/>
    <w:rsid w:val="00790624"/>
    <w:rsid w:val="00790A16"/>
    <w:rsid w:val="0079124D"/>
    <w:rsid w:val="007914C8"/>
    <w:rsid w:val="0079195C"/>
    <w:rsid w:val="00791968"/>
    <w:rsid w:val="0079199A"/>
    <w:rsid w:val="00791ECA"/>
    <w:rsid w:val="00791F7A"/>
    <w:rsid w:val="00792EE6"/>
    <w:rsid w:val="00793462"/>
    <w:rsid w:val="007936B5"/>
    <w:rsid w:val="007936C4"/>
    <w:rsid w:val="00793E30"/>
    <w:rsid w:val="00794106"/>
    <w:rsid w:val="00794B81"/>
    <w:rsid w:val="00794F46"/>
    <w:rsid w:val="00795404"/>
    <w:rsid w:val="007955CD"/>
    <w:rsid w:val="007957D1"/>
    <w:rsid w:val="007959C9"/>
    <w:rsid w:val="00795C73"/>
    <w:rsid w:val="007965C1"/>
    <w:rsid w:val="00797493"/>
    <w:rsid w:val="00797A6F"/>
    <w:rsid w:val="00797F91"/>
    <w:rsid w:val="007A03EB"/>
    <w:rsid w:val="007A0923"/>
    <w:rsid w:val="007A0AC3"/>
    <w:rsid w:val="007A1182"/>
    <w:rsid w:val="007A11A7"/>
    <w:rsid w:val="007A1434"/>
    <w:rsid w:val="007A1B11"/>
    <w:rsid w:val="007A24FC"/>
    <w:rsid w:val="007A25ED"/>
    <w:rsid w:val="007A2BBA"/>
    <w:rsid w:val="007A2E02"/>
    <w:rsid w:val="007A3108"/>
    <w:rsid w:val="007A3289"/>
    <w:rsid w:val="007A3846"/>
    <w:rsid w:val="007A3B92"/>
    <w:rsid w:val="007A3C78"/>
    <w:rsid w:val="007A41CC"/>
    <w:rsid w:val="007A5759"/>
    <w:rsid w:val="007A591E"/>
    <w:rsid w:val="007A5A7C"/>
    <w:rsid w:val="007A5E09"/>
    <w:rsid w:val="007A624A"/>
    <w:rsid w:val="007A6301"/>
    <w:rsid w:val="007A6410"/>
    <w:rsid w:val="007A6944"/>
    <w:rsid w:val="007A7B8D"/>
    <w:rsid w:val="007B115E"/>
    <w:rsid w:val="007B17E0"/>
    <w:rsid w:val="007B1842"/>
    <w:rsid w:val="007B192F"/>
    <w:rsid w:val="007B1F3D"/>
    <w:rsid w:val="007B2208"/>
    <w:rsid w:val="007B2845"/>
    <w:rsid w:val="007B2AD3"/>
    <w:rsid w:val="007B3F83"/>
    <w:rsid w:val="007B425F"/>
    <w:rsid w:val="007B58A2"/>
    <w:rsid w:val="007B698B"/>
    <w:rsid w:val="007B6B8E"/>
    <w:rsid w:val="007B6C20"/>
    <w:rsid w:val="007B6DE6"/>
    <w:rsid w:val="007B6E4C"/>
    <w:rsid w:val="007B7112"/>
    <w:rsid w:val="007B7652"/>
    <w:rsid w:val="007B7ABA"/>
    <w:rsid w:val="007B7FCB"/>
    <w:rsid w:val="007C0192"/>
    <w:rsid w:val="007C16E0"/>
    <w:rsid w:val="007C1BB0"/>
    <w:rsid w:val="007C2D0F"/>
    <w:rsid w:val="007C2D11"/>
    <w:rsid w:val="007C50A1"/>
    <w:rsid w:val="007C5BA9"/>
    <w:rsid w:val="007C5D15"/>
    <w:rsid w:val="007C5F68"/>
    <w:rsid w:val="007C69DC"/>
    <w:rsid w:val="007C7148"/>
    <w:rsid w:val="007C78FF"/>
    <w:rsid w:val="007C7AB1"/>
    <w:rsid w:val="007D2E4A"/>
    <w:rsid w:val="007D2FB1"/>
    <w:rsid w:val="007D3127"/>
    <w:rsid w:val="007D4269"/>
    <w:rsid w:val="007D49F5"/>
    <w:rsid w:val="007D5A4E"/>
    <w:rsid w:val="007D5B3C"/>
    <w:rsid w:val="007D6332"/>
    <w:rsid w:val="007D677E"/>
    <w:rsid w:val="007D69A6"/>
    <w:rsid w:val="007D6ADB"/>
    <w:rsid w:val="007D79D7"/>
    <w:rsid w:val="007E007D"/>
    <w:rsid w:val="007E0703"/>
    <w:rsid w:val="007E09F1"/>
    <w:rsid w:val="007E2260"/>
    <w:rsid w:val="007E2383"/>
    <w:rsid w:val="007E26EC"/>
    <w:rsid w:val="007E3116"/>
    <w:rsid w:val="007E349D"/>
    <w:rsid w:val="007E34A1"/>
    <w:rsid w:val="007E35B3"/>
    <w:rsid w:val="007E3A1C"/>
    <w:rsid w:val="007E4761"/>
    <w:rsid w:val="007E4AAD"/>
    <w:rsid w:val="007E4C61"/>
    <w:rsid w:val="007E4FE9"/>
    <w:rsid w:val="007E5621"/>
    <w:rsid w:val="007E565D"/>
    <w:rsid w:val="007E66FF"/>
    <w:rsid w:val="007E6A40"/>
    <w:rsid w:val="007E71A5"/>
    <w:rsid w:val="007E7784"/>
    <w:rsid w:val="007E7CF2"/>
    <w:rsid w:val="007F1DE4"/>
    <w:rsid w:val="007F1DFA"/>
    <w:rsid w:val="007F2460"/>
    <w:rsid w:val="007F24FF"/>
    <w:rsid w:val="007F272A"/>
    <w:rsid w:val="007F2AD2"/>
    <w:rsid w:val="007F2B31"/>
    <w:rsid w:val="007F32A3"/>
    <w:rsid w:val="007F3409"/>
    <w:rsid w:val="007F344E"/>
    <w:rsid w:val="007F3459"/>
    <w:rsid w:val="007F3DAC"/>
    <w:rsid w:val="007F3EC9"/>
    <w:rsid w:val="007F4431"/>
    <w:rsid w:val="007F4CB6"/>
    <w:rsid w:val="007F5A77"/>
    <w:rsid w:val="007F5EA0"/>
    <w:rsid w:val="007F6098"/>
    <w:rsid w:val="007F62F1"/>
    <w:rsid w:val="007F630F"/>
    <w:rsid w:val="007F64AF"/>
    <w:rsid w:val="007F666A"/>
    <w:rsid w:val="007F7631"/>
    <w:rsid w:val="0080064F"/>
    <w:rsid w:val="00800724"/>
    <w:rsid w:val="008009AB"/>
    <w:rsid w:val="00801975"/>
    <w:rsid w:val="00801A4A"/>
    <w:rsid w:val="00802690"/>
    <w:rsid w:val="008036CC"/>
    <w:rsid w:val="00803759"/>
    <w:rsid w:val="00803977"/>
    <w:rsid w:val="00804AD4"/>
    <w:rsid w:val="00804CB7"/>
    <w:rsid w:val="00804DF4"/>
    <w:rsid w:val="00804F4A"/>
    <w:rsid w:val="008052E1"/>
    <w:rsid w:val="00805366"/>
    <w:rsid w:val="00805696"/>
    <w:rsid w:val="00805AD0"/>
    <w:rsid w:val="00806518"/>
    <w:rsid w:val="00807294"/>
    <w:rsid w:val="0080773D"/>
    <w:rsid w:val="00807788"/>
    <w:rsid w:val="00807D76"/>
    <w:rsid w:val="00807F3A"/>
    <w:rsid w:val="0081121B"/>
    <w:rsid w:val="008112E0"/>
    <w:rsid w:val="00811459"/>
    <w:rsid w:val="0081147F"/>
    <w:rsid w:val="00811798"/>
    <w:rsid w:val="00811989"/>
    <w:rsid w:val="008119C9"/>
    <w:rsid w:val="00811D86"/>
    <w:rsid w:val="00811FAD"/>
    <w:rsid w:val="008126A0"/>
    <w:rsid w:val="0081297B"/>
    <w:rsid w:val="00812992"/>
    <w:rsid w:val="00812B77"/>
    <w:rsid w:val="00813270"/>
    <w:rsid w:val="008132BA"/>
    <w:rsid w:val="008139AD"/>
    <w:rsid w:val="00813C59"/>
    <w:rsid w:val="00814026"/>
    <w:rsid w:val="00814165"/>
    <w:rsid w:val="008148FA"/>
    <w:rsid w:val="00815244"/>
    <w:rsid w:val="00815885"/>
    <w:rsid w:val="00815BDB"/>
    <w:rsid w:val="00816724"/>
    <w:rsid w:val="00817637"/>
    <w:rsid w:val="0081774A"/>
    <w:rsid w:val="00817833"/>
    <w:rsid w:val="00820B7F"/>
    <w:rsid w:val="00820CA5"/>
    <w:rsid w:val="00820FA5"/>
    <w:rsid w:val="00821608"/>
    <w:rsid w:val="0082194B"/>
    <w:rsid w:val="00821F6E"/>
    <w:rsid w:val="00822AD1"/>
    <w:rsid w:val="00822E44"/>
    <w:rsid w:val="0082324B"/>
    <w:rsid w:val="00823D58"/>
    <w:rsid w:val="00824710"/>
    <w:rsid w:val="00824C21"/>
    <w:rsid w:val="0082500A"/>
    <w:rsid w:val="0082564A"/>
    <w:rsid w:val="00825A8B"/>
    <w:rsid w:val="00825A93"/>
    <w:rsid w:val="0082678A"/>
    <w:rsid w:val="0082697F"/>
    <w:rsid w:val="00826ADE"/>
    <w:rsid w:val="0083002E"/>
    <w:rsid w:val="0083005F"/>
    <w:rsid w:val="00830194"/>
    <w:rsid w:val="00830327"/>
    <w:rsid w:val="0083169A"/>
    <w:rsid w:val="00831895"/>
    <w:rsid w:val="00831946"/>
    <w:rsid w:val="00831C2A"/>
    <w:rsid w:val="00832027"/>
    <w:rsid w:val="0083279E"/>
    <w:rsid w:val="008329B0"/>
    <w:rsid w:val="00833457"/>
    <w:rsid w:val="008334C5"/>
    <w:rsid w:val="008334DD"/>
    <w:rsid w:val="00833D25"/>
    <w:rsid w:val="008345A1"/>
    <w:rsid w:val="008345BF"/>
    <w:rsid w:val="008347D1"/>
    <w:rsid w:val="00834CB1"/>
    <w:rsid w:val="0083582C"/>
    <w:rsid w:val="00835DC6"/>
    <w:rsid w:val="00836395"/>
    <w:rsid w:val="00836982"/>
    <w:rsid w:val="00836996"/>
    <w:rsid w:val="00836DB4"/>
    <w:rsid w:val="008378DA"/>
    <w:rsid w:val="008401A7"/>
    <w:rsid w:val="008406E4"/>
    <w:rsid w:val="00840B23"/>
    <w:rsid w:val="0084158E"/>
    <w:rsid w:val="00841D7E"/>
    <w:rsid w:val="00841F0A"/>
    <w:rsid w:val="008424E8"/>
    <w:rsid w:val="008424FA"/>
    <w:rsid w:val="00842519"/>
    <w:rsid w:val="00842E19"/>
    <w:rsid w:val="008430B1"/>
    <w:rsid w:val="00843405"/>
    <w:rsid w:val="0084349C"/>
    <w:rsid w:val="008434B8"/>
    <w:rsid w:val="00843794"/>
    <w:rsid w:val="00843C45"/>
    <w:rsid w:val="00843FEF"/>
    <w:rsid w:val="008443A9"/>
    <w:rsid w:val="008444C5"/>
    <w:rsid w:val="00844848"/>
    <w:rsid w:val="0084637F"/>
    <w:rsid w:val="0084737F"/>
    <w:rsid w:val="008479CB"/>
    <w:rsid w:val="00850BC9"/>
    <w:rsid w:val="0085153A"/>
    <w:rsid w:val="0085230A"/>
    <w:rsid w:val="00852500"/>
    <w:rsid w:val="00852844"/>
    <w:rsid w:val="00852A6A"/>
    <w:rsid w:val="00852B72"/>
    <w:rsid w:val="00852D27"/>
    <w:rsid w:val="00853045"/>
    <w:rsid w:val="00853B50"/>
    <w:rsid w:val="008541A8"/>
    <w:rsid w:val="00854778"/>
    <w:rsid w:val="008559CB"/>
    <w:rsid w:val="008569E4"/>
    <w:rsid w:val="00857AE5"/>
    <w:rsid w:val="00857B07"/>
    <w:rsid w:val="00857D59"/>
    <w:rsid w:val="008603E3"/>
    <w:rsid w:val="00861E47"/>
    <w:rsid w:val="0086211D"/>
    <w:rsid w:val="00862233"/>
    <w:rsid w:val="00862983"/>
    <w:rsid w:val="008632B4"/>
    <w:rsid w:val="008633FC"/>
    <w:rsid w:val="00863734"/>
    <w:rsid w:val="00863779"/>
    <w:rsid w:val="0086481B"/>
    <w:rsid w:val="00864FFF"/>
    <w:rsid w:val="00865013"/>
    <w:rsid w:val="0086547B"/>
    <w:rsid w:val="0086584D"/>
    <w:rsid w:val="00865A47"/>
    <w:rsid w:val="00865ED1"/>
    <w:rsid w:val="008660E2"/>
    <w:rsid w:val="0086646C"/>
    <w:rsid w:val="00867350"/>
    <w:rsid w:val="00867618"/>
    <w:rsid w:val="00870113"/>
    <w:rsid w:val="0087035C"/>
    <w:rsid w:val="008720B5"/>
    <w:rsid w:val="008723C6"/>
    <w:rsid w:val="008728AE"/>
    <w:rsid w:val="00872B1B"/>
    <w:rsid w:val="00873241"/>
    <w:rsid w:val="008732A3"/>
    <w:rsid w:val="008733E1"/>
    <w:rsid w:val="00874201"/>
    <w:rsid w:val="00874544"/>
    <w:rsid w:val="0087487C"/>
    <w:rsid w:val="00875606"/>
    <w:rsid w:val="00875941"/>
    <w:rsid w:val="008760DA"/>
    <w:rsid w:val="008774B3"/>
    <w:rsid w:val="00877546"/>
    <w:rsid w:val="008778A4"/>
    <w:rsid w:val="00877A60"/>
    <w:rsid w:val="00880A32"/>
    <w:rsid w:val="00880CAA"/>
    <w:rsid w:val="00880DC2"/>
    <w:rsid w:val="00880F5F"/>
    <w:rsid w:val="0088120B"/>
    <w:rsid w:val="008812EE"/>
    <w:rsid w:val="008818FD"/>
    <w:rsid w:val="0088247A"/>
    <w:rsid w:val="00882A41"/>
    <w:rsid w:val="00882C8E"/>
    <w:rsid w:val="0088322A"/>
    <w:rsid w:val="00884020"/>
    <w:rsid w:val="008840D2"/>
    <w:rsid w:val="0088523F"/>
    <w:rsid w:val="00885892"/>
    <w:rsid w:val="00885D5B"/>
    <w:rsid w:val="008863B8"/>
    <w:rsid w:val="00886543"/>
    <w:rsid w:val="00886AE5"/>
    <w:rsid w:val="00886CD6"/>
    <w:rsid w:val="00886EA0"/>
    <w:rsid w:val="00887070"/>
    <w:rsid w:val="00887483"/>
    <w:rsid w:val="008874D1"/>
    <w:rsid w:val="00887656"/>
    <w:rsid w:val="00887846"/>
    <w:rsid w:val="0088796E"/>
    <w:rsid w:val="00887F34"/>
    <w:rsid w:val="00890459"/>
    <w:rsid w:val="008908B0"/>
    <w:rsid w:val="0089099E"/>
    <w:rsid w:val="00890BCB"/>
    <w:rsid w:val="0089135D"/>
    <w:rsid w:val="00891BDD"/>
    <w:rsid w:val="00892984"/>
    <w:rsid w:val="00894589"/>
    <w:rsid w:val="00894804"/>
    <w:rsid w:val="00894B0A"/>
    <w:rsid w:val="00894E13"/>
    <w:rsid w:val="0089586C"/>
    <w:rsid w:val="0089611A"/>
    <w:rsid w:val="00896232"/>
    <w:rsid w:val="00896EA1"/>
    <w:rsid w:val="00897224"/>
    <w:rsid w:val="008975EE"/>
    <w:rsid w:val="008977E8"/>
    <w:rsid w:val="00897FC1"/>
    <w:rsid w:val="008A057B"/>
    <w:rsid w:val="008A0F70"/>
    <w:rsid w:val="008A1073"/>
    <w:rsid w:val="008A108A"/>
    <w:rsid w:val="008A1B51"/>
    <w:rsid w:val="008A23BD"/>
    <w:rsid w:val="008A23D4"/>
    <w:rsid w:val="008A280B"/>
    <w:rsid w:val="008A3203"/>
    <w:rsid w:val="008A468B"/>
    <w:rsid w:val="008A4A3C"/>
    <w:rsid w:val="008A5808"/>
    <w:rsid w:val="008A604C"/>
    <w:rsid w:val="008A61C6"/>
    <w:rsid w:val="008A62FA"/>
    <w:rsid w:val="008A6EC2"/>
    <w:rsid w:val="008B0378"/>
    <w:rsid w:val="008B05D1"/>
    <w:rsid w:val="008B0611"/>
    <w:rsid w:val="008B08B8"/>
    <w:rsid w:val="008B10A5"/>
    <w:rsid w:val="008B137D"/>
    <w:rsid w:val="008B212E"/>
    <w:rsid w:val="008B22C2"/>
    <w:rsid w:val="008B23ED"/>
    <w:rsid w:val="008B24A8"/>
    <w:rsid w:val="008B269B"/>
    <w:rsid w:val="008B2B16"/>
    <w:rsid w:val="008B312C"/>
    <w:rsid w:val="008B34B3"/>
    <w:rsid w:val="008B3E57"/>
    <w:rsid w:val="008B455E"/>
    <w:rsid w:val="008B464C"/>
    <w:rsid w:val="008B4673"/>
    <w:rsid w:val="008B47E8"/>
    <w:rsid w:val="008B4B2A"/>
    <w:rsid w:val="008B5271"/>
    <w:rsid w:val="008B5D53"/>
    <w:rsid w:val="008B729B"/>
    <w:rsid w:val="008B79EA"/>
    <w:rsid w:val="008C0066"/>
    <w:rsid w:val="008C01DA"/>
    <w:rsid w:val="008C0A05"/>
    <w:rsid w:val="008C0C69"/>
    <w:rsid w:val="008C0D78"/>
    <w:rsid w:val="008C0DC5"/>
    <w:rsid w:val="008C1031"/>
    <w:rsid w:val="008C11AD"/>
    <w:rsid w:val="008C146A"/>
    <w:rsid w:val="008C204C"/>
    <w:rsid w:val="008C20C3"/>
    <w:rsid w:val="008C24B7"/>
    <w:rsid w:val="008C29C3"/>
    <w:rsid w:val="008C2A61"/>
    <w:rsid w:val="008C3464"/>
    <w:rsid w:val="008C445D"/>
    <w:rsid w:val="008C4664"/>
    <w:rsid w:val="008C4AFE"/>
    <w:rsid w:val="008C4D8C"/>
    <w:rsid w:val="008C4FE2"/>
    <w:rsid w:val="008C5BA3"/>
    <w:rsid w:val="008C5C4B"/>
    <w:rsid w:val="008C60E1"/>
    <w:rsid w:val="008C6105"/>
    <w:rsid w:val="008C61FE"/>
    <w:rsid w:val="008C7317"/>
    <w:rsid w:val="008D0440"/>
    <w:rsid w:val="008D0954"/>
    <w:rsid w:val="008D1468"/>
    <w:rsid w:val="008D1910"/>
    <w:rsid w:val="008D1C74"/>
    <w:rsid w:val="008D1FC9"/>
    <w:rsid w:val="008D27AB"/>
    <w:rsid w:val="008D35C9"/>
    <w:rsid w:val="008D39CC"/>
    <w:rsid w:val="008D3BFE"/>
    <w:rsid w:val="008D3DDD"/>
    <w:rsid w:val="008D4222"/>
    <w:rsid w:val="008D4334"/>
    <w:rsid w:val="008D470E"/>
    <w:rsid w:val="008D4764"/>
    <w:rsid w:val="008D51AC"/>
    <w:rsid w:val="008D68C3"/>
    <w:rsid w:val="008D7537"/>
    <w:rsid w:val="008D7914"/>
    <w:rsid w:val="008D7C64"/>
    <w:rsid w:val="008D7DE9"/>
    <w:rsid w:val="008E0643"/>
    <w:rsid w:val="008E0697"/>
    <w:rsid w:val="008E0789"/>
    <w:rsid w:val="008E0792"/>
    <w:rsid w:val="008E0AC2"/>
    <w:rsid w:val="008E108E"/>
    <w:rsid w:val="008E10D6"/>
    <w:rsid w:val="008E1188"/>
    <w:rsid w:val="008E126E"/>
    <w:rsid w:val="008E1C82"/>
    <w:rsid w:val="008E2C49"/>
    <w:rsid w:val="008E2DA0"/>
    <w:rsid w:val="008E337E"/>
    <w:rsid w:val="008E3E9E"/>
    <w:rsid w:val="008E3EC4"/>
    <w:rsid w:val="008E41BD"/>
    <w:rsid w:val="008E4258"/>
    <w:rsid w:val="008E5207"/>
    <w:rsid w:val="008E5834"/>
    <w:rsid w:val="008E5AA6"/>
    <w:rsid w:val="008E621C"/>
    <w:rsid w:val="008E6CC0"/>
    <w:rsid w:val="008E7B51"/>
    <w:rsid w:val="008E7BFB"/>
    <w:rsid w:val="008E7CA5"/>
    <w:rsid w:val="008E7DCB"/>
    <w:rsid w:val="008E7E66"/>
    <w:rsid w:val="008E7FBD"/>
    <w:rsid w:val="008F0907"/>
    <w:rsid w:val="008F0AA6"/>
    <w:rsid w:val="008F0EF6"/>
    <w:rsid w:val="008F162C"/>
    <w:rsid w:val="008F1A12"/>
    <w:rsid w:val="008F1AE3"/>
    <w:rsid w:val="008F1FBE"/>
    <w:rsid w:val="008F24CC"/>
    <w:rsid w:val="008F33EA"/>
    <w:rsid w:val="008F4403"/>
    <w:rsid w:val="008F45D7"/>
    <w:rsid w:val="008F4F7F"/>
    <w:rsid w:val="008F6A06"/>
    <w:rsid w:val="008F6ECD"/>
    <w:rsid w:val="008F753B"/>
    <w:rsid w:val="008F7A8B"/>
    <w:rsid w:val="008F7AE9"/>
    <w:rsid w:val="008F7E81"/>
    <w:rsid w:val="009005A3"/>
    <w:rsid w:val="00900775"/>
    <w:rsid w:val="009013CA"/>
    <w:rsid w:val="00901506"/>
    <w:rsid w:val="00901B52"/>
    <w:rsid w:val="00902083"/>
    <w:rsid w:val="00902288"/>
    <w:rsid w:val="0090289B"/>
    <w:rsid w:val="00902B25"/>
    <w:rsid w:val="0090329D"/>
    <w:rsid w:val="009039E2"/>
    <w:rsid w:val="00904218"/>
    <w:rsid w:val="009046B5"/>
    <w:rsid w:val="00904E9F"/>
    <w:rsid w:val="009051E5"/>
    <w:rsid w:val="009052AE"/>
    <w:rsid w:val="0090532B"/>
    <w:rsid w:val="00905449"/>
    <w:rsid w:val="009054DA"/>
    <w:rsid w:val="00905501"/>
    <w:rsid w:val="00905972"/>
    <w:rsid w:val="0090649D"/>
    <w:rsid w:val="00906A74"/>
    <w:rsid w:val="00906E65"/>
    <w:rsid w:val="0090728C"/>
    <w:rsid w:val="0090795E"/>
    <w:rsid w:val="00907E2D"/>
    <w:rsid w:val="00910099"/>
    <w:rsid w:val="00910F01"/>
    <w:rsid w:val="009115EF"/>
    <w:rsid w:val="00911DB0"/>
    <w:rsid w:val="0091213D"/>
    <w:rsid w:val="0091237F"/>
    <w:rsid w:val="00913533"/>
    <w:rsid w:val="00913D6D"/>
    <w:rsid w:val="00914420"/>
    <w:rsid w:val="009144C6"/>
    <w:rsid w:val="0091486D"/>
    <w:rsid w:val="00914F3F"/>
    <w:rsid w:val="00915028"/>
    <w:rsid w:val="00915DA7"/>
    <w:rsid w:val="009164AC"/>
    <w:rsid w:val="00916A4F"/>
    <w:rsid w:val="00916A56"/>
    <w:rsid w:val="00916BD8"/>
    <w:rsid w:val="00916FAA"/>
    <w:rsid w:val="009172C7"/>
    <w:rsid w:val="00917897"/>
    <w:rsid w:val="00917B0E"/>
    <w:rsid w:val="00920771"/>
    <w:rsid w:val="00920DE5"/>
    <w:rsid w:val="00920E46"/>
    <w:rsid w:val="00921962"/>
    <w:rsid w:val="00921A46"/>
    <w:rsid w:val="00921C0D"/>
    <w:rsid w:val="00921EE0"/>
    <w:rsid w:val="00922B49"/>
    <w:rsid w:val="00922F07"/>
    <w:rsid w:val="00922F92"/>
    <w:rsid w:val="009230BE"/>
    <w:rsid w:val="00923307"/>
    <w:rsid w:val="009233C0"/>
    <w:rsid w:val="00923527"/>
    <w:rsid w:val="009242D8"/>
    <w:rsid w:val="00924B20"/>
    <w:rsid w:val="00924BC1"/>
    <w:rsid w:val="00924DB9"/>
    <w:rsid w:val="0092509E"/>
    <w:rsid w:val="00925187"/>
    <w:rsid w:val="009256C6"/>
    <w:rsid w:val="00925CB3"/>
    <w:rsid w:val="0092768E"/>
    <w:rsid w:val="0092779C"/>
    <w:rsid w:val="0092795F"/>
    <w:rsid w:val="00930215"/>
    <w:rsid w:val="009302E6"/>
    <w:rsid w:val="00930632"/>
    <w:rsid w:val="009317DA"/>
    <w:rsid w:val="009326FB"/>
    <w:rsid w:val="00932AE3"/>
    <w:rsid w:val="009339F8"/>
    <w:rsid w:val="00933CE9"/>
    <w:rsid w:val="00934A5F"/>
    <w:rsid w:val="00934DA8"/>
    <w:rsid w:val="00935512"/>
    <w:rsid w:val="00935A09"/>
    <w:rsid w:val="0093639B"/>
    <w:rsid w:val="00936487"/>
    <w:rsid w:val="00936654"/>
    <w:rsid w:val="00936730"/>
    <w:rsid w:val="009368EE"/>
    <w:rsid w:val="00936BDE"/>
    <w:rsid w:val="00936D51"/>
    <w:rsid w:val="0093741C"/>
    <w:rsid w:val="00937492"/>
    <w:rsid w:val="009377AF"/>
    <w:rsid w:val="00940077"/>
    <w:rsid w:val="00940620"/>
    <w:rsid w:val="00940756"/>
    <w:rsid w:val="00940770"/>
    <w:rsid w:val="0094114C"/>
    <w:rsid w:val="009411E4"/>
    <w:rsid w:val="0094120C"/>
    <w:rsid w:val="00941F8E"/>
    <w:rsid w:val="00942368"/>
    <w:rsid w:val="00942440"/>
    <w:rsid w:val="00942A5D"/>
    <w:rsid w:val="00942E6F"/>
    <w:rsid w:val="00943A3B"/>
    <w:rsid w:val="00944477"/>
    <w:rsid w:val="00944961"/>
    <w:rsid w:val="00944BE6"/>
    <w:rsid w:val="00945A22"/>
    <w:rsid w:val="009467E1"/>
    <w:rsid w:val="00946E85"/>
    <w:rsid w:val="009475EF"/>
    <w:rsid w:val="00947B04"/>
    <w:rsid w:val="00947C0D"/>
    <w:rsid w:val="00950050"/>
    <w:rsid w:val="009505D9"/>
    <w:rsid w:val="00950EFF"/>
    <w:rsid w:val="009526AD"/>
    <w:rsid w:val="00952CB8"/>
    <w:rsid w:val="009534CA"/>
    <w:rsid w:val="009539FD"/>
    <w:rsid w:val="00953B90"/>
    <w:rsid w:val="00954270"/>
    <w:rsid w:val="009548EA"/>
    <w:rsid w:val="00954D0F"/>
    <w:rsid w:val="00954D44"/>
    <w:rsid w:val="009550B0"/>
    <w:rsid w:val="00955438"/>
    <w:rsid w:val="00955667"/>
    <w:rsid w:val="00955B2E"/>
    <w:rsid w:val="009564D1"/>
    <w:rsid w:val="00956D31"/>
    <w:rsid w:val="0095755F"/>
    <w:rsid w:val="009575CE"/>
    <w:rsid w:val="0095791E"/>
    <w:rsid w:val="009600AD"/>
    <w:rsid w:val="009604B3"/>
    <w:rsid w:val="00960686"/>
    <w:rsid w:val="0096073D"/>
    <w:rsid w:val="00960CD2"/>
    <w:rsid w:val="00961284"/>
    <w:rsid w:val="009614A9"/>
    <w:rsid w:val="00961683"/>
    <w:rsid w:val="00961710"/>
    <w:rsid w:val="00961DA4"/>
    <w:rsid w:val="009624A8"/>
    <w:rsid w:val="00962CB9"/>
    <w:rsid w:val="00963653"/>
    <w:rsid w:val="00963DED"/>
    <w:rsid w:val="0096409C"/>
    <w:rsid w:val="00964BA6"/>
    <w:rsid w:val="00966037"/>
    <w:rsid w:val="00966190"/>
    <w:rsid w:val="00966663"/>
    <w:rsid w:val="00966682"/>
    <w:rsid w:val="00966F84"/>
    <w:rsid w:val="0096782D"/>
    <w:rsid w:val="009702B4"/>
    <w:rsid w:val="00970E56"/>
    <w:rsid w:val="0097160B"/>
    <w:rsid w:val="009721B6"/>
    <w:rsid w:val="00973AB3"/>
    <w:rsid w:val="00973B87"/>
    <w:rsid w:val="00973D15"/>
    <w:rsid w:val="00973E87"/>
    <w:rsid w:val="009750B3"/>
    <w:rsid w:val="009762A6"/>
    <w:rsid w:val="009774E6"/>
    <w:rsid w:val="00977561"/>
    <w:rsid w:val="00977E1C"/>
    <w:rsid w:val="00980108"/>
    <w:rsid w:val="0098027D"/>
    <w:rsid w:val="009806E1"/>
    <w:rsid w:val="00980848"/>
    <w:rsid w:val="00980BDD"/>
    <w:rsid w:val="009810FF"/>
    <w:rsid w:val="00981603"/>
    <w:rsid w:val="009818DA"/>
    <w:rsid w:val="009824E5"/>
    <w:rsid w:val="00982BDD"/>
    <w:rsid w:val="00982C5E"/>
    <w:rsid w:val="00983015"/>
    <w:rsid w:val="00983155"/>
    <w:rsid w:val="00983B9B"/>
    <w:rsid w:val="00983E61"/>
    <w:rsid w:val="00984603"/>
    <w:rsid w:val="00984CCA"/>
    <w:rsid w:val="00985722"/>
    <w:rsid w:val="0098577E"/>
    <w:rsid w:val="00986619"/>
    <w:rsid w:val="0098676D"/>
    <w:rsid w:val="00986BE4"/>
    <w:rsid w:val="00986ECE"/>
    <w:rsid w:val="00987571"/>
    <w:rsid w:val="00987AD1"/>
    <w:rsid w:val="00987C3B"/>
    <w:rsid w:val="00991B5D"/>
    <w:rsid w:val="00991BD7"/>
    <w:rsid w:val="00991DF5"/>
    <w:rsid w:val="0099251C"/>
    <w:rsid w:val="00992A05"/>
    <w:rsid w:val="009939E9"/>
    <w:rsid w:val="00993B5A"/>
    <w:rsid w:val="0099412B"/>
    <w:rsid w:val="00994D4B"/>
    <w:rsid w:val="0099632C"/>
    <w:rsid w:val="0099658B"/>
    <w:rsid w:val="00996B06"/>
    <w:rsid w:val="00996E7B"/>
    <w:rsid w:val="00997E8F"/>
    <w:rsid w:val="009A0522"/>
    <w:rsid w:val="009A08FD"/>
    <w:rsid w:val="009A0B14"/>
    <w:rsid w:val="009A104A"/>
    <w:rsid w:val="009A121C"/>
    <w:rsid w:val="009A1E56"/>
    <w:rsid w:val="009A280C"/>
    <w:rsid w:val="009A3D51"/>
    <w:rsid w:val="009A474A"/>
    <w:rsid w:val="009A48C0"/>
    <w:rsid w:val="009A4E9F"/>
    <w:rsid w:val="009A56C9"/>
    <w:rsid w:val="009A56D8"/>
    <w:rsid w:val="009A5AF0"/>
    <w:rsid w:val="009A613C"/>
    <w:rsid w:val="009A6417"/>
    <w:rsid w:val="009A6AAF"/>
    <w:rsid w:val="009A70FD"/>
    <w:rsid w:val="009A753B"/>
    <w:rsid w:val="009A7AB8"/>
    <w:rsid w:val="009A7D90"/>
    <w:rsid w:val="009B01A1"/>
    <w:rsid w:val="009B05AB"/>
    <w:rsid w:val="009B07DB"/>
    <w:rsid w:val="009B1C75"/>
    <w:rsid w:val="009B21D7"/>
    <w:rsid w:val="009B2A36"/>
    <w:rsid w:val="009B2F8C"/>
    <w:rsid w:val="009B307E"/>
    <w:rsid w:val="009B3630"/>
    <w:rsid w:val="009B3A3E"/>
    <w:rsid w:val="009B3F01"/>
    <w:rsid w:val="009B3F98"/>
    <w:rsid w:val="009B4B48"/>
    <w:rsid w:val="009B4E09"/>
    <w:rsid w:val="009B5BE2"/>
    <w:rsid w:val="009B5CFA"/>
    <w:rsid w:val="009B5F06"/>
    <w:rsid w:val="009B5F71"/>
    <w:rsid w:val="009B6542"/>
    <w:rsid w:val="009B68B1"/>
    <w:rsid w:val="009B68D9"/>
    <w:rsid w:val="009B6929"/>
    <w:rsid w:val="009B7BD2"/>
    <w:rsid w:val="009B7E74"/>
    <w:rsid w:val="009C0CD9"/>
    <w:rsid w:val="009C0EE8"/>
    <w:rsid w:val="009C120E"/>
    <w:rsid w:val="009C1373"/>
    <w:rsid w:val="009C196D"/>
    <w:rsid w:val="009C1C44"/>
    <w:rsid w:val="009C1E25"/>
    <w:rsid w:val="009C2522"/>
    <w:rsid w:val="009C4462"/>
    <w:rsid w:val="009C4ACF"/>
    <w:rsid w:val="009C4FD1"/>
    <w:rsid w:val="009C52A4"/>
    <w:rsid w:val="009C58F5"/>
    <w:rsid w:val="009C5902"/>
    <w:rsid w:val="009C5910"/>
    <w:rsid w:val="009C5D42"/>
    <w:rsid w:val="009C72E1"/>
    <w:rsid w:val="009C72E6"/>
    <w:rsid w:val="009C79C1"/>
    <w:rsid w:val="009D0763"/>
    <w:rsid w:val="009D1095"/>
    <w:rsid w:val="009D151D"/>
    <w:rsid w:val="009D1EFA"/>
    <w:rsid w:val="009D241A"/>
    <w:rsid w:val="009D2985"/>
    <w:rsid w:val="009D2A71"/>
    <w:rsid w:val="009D35EB"/>
    <w:rsid w:val="009D398C"/>
    <w:rsid w:val="009D3DA2"/>
    <w:rsid w:val="009D3E21"/>
    <w:rsid w:val="009D3F93"/>
    <w:rsid w:val="009D437C"/>
    <w:rsid w:val="009D45FD"/>
    <w:rsid w:val="009D5B4D"/>
    <w:rsid w:val="009D5DF9"/>
    <w:rsid w:val="009D5F96"/>
    <w:rsid w:val="009D62E5"/>
    <w:rsid w:val="009D6361"/>
    <w:rsid w:val="009D671F"/>
    <w:rsid w:val="009D67F2"/>
    <w:rsid w:val="009D6885"/>
    <w:rsid w:val="009D7264"/>
    <w:rsid w:val="009D7BD4"/>
    <w:rsid w:val="009D7D88"/>
    <w:rsid w:val="009E043B"/>
    <w:rsid w:val="009E0DA7"/>
    <w:rsid w:val="009E0E53"/>
    <w:rsid w:val="009E1416"/>
    <w:rsid w:val="009E22AD"/>
    <w:rsid w:val="009E260A"/>
    <w:rsid w:val="009E2621"/>
    <w:rsid w:val="009E2AD0"/>
    <w:rsid w:val="009E2AFA"/>
    <w:rsid w:val="009E2BB2"/>
    <w:rsid w:val="009E3110"/>
    <w:rsid w:val="009E3338"/>
    <w:rsid w:val="009E3492"/>
    <w:rsid w:val="009E3754"/>
    <w:rsid w:val="009E3768"/>
    <w:rsid w:val="009E3BAF"/>
    <w:rsid w:val="009E4030"/>
    <w:rsid w:val="009E4181"/>
    <w:rsid w:val="009E4377"/>
    <w:rsid w:val="009E44B1"/>
    <w:rsid w:val="009E48AF"/>
    <w:rsid w:val="009E49BE"/>
    <w:rsid w:val="009E4B4A"/>
    <w:rsid w:val="009E4DBD"/>
    <w:rsid w:val="009E4ECB"/>
    <w:rsid w:val="009E502F"/>
    <w:rsid w:val="009E520F"/>
    <w:rsid w:val="009E523A"/>
    <w:rsid w:val="009E5502"/>
    <w:rsid w:val="009E5875"/>
    <w:rsid w:val="009E5D34"/>
    <w:rsid w:val="009E5FE4"/>
    <w:rsid w:val="009E73A0"/>
    <w:rsid w:val="009E7409"/>
    <w:rsid w:val="009E7FFB"/>
    <w:rsid w:val="009F07CB"/>
    <w:rsid w:val="009F0D0C"/>
    <w:rsid w:val="009F14AA"/>
    <w:rsid w:val="009F25D2"/>
    <w:rsid w:val="009F2D4D"/>
    <w:rsid w:val="009F2D69"/>
    <w:rsid w:val="009F3422"/>
    <w:rsid w:val="009F3646"/>
    <w:rsid w:val="009F3D64"/>
    <w:rsid w:val="009F3F58"/>
    <w:rsid w:val="009F4032"/>
    <w:rsid w:val="009F4209"/>
    <w:rsid w:val="009F47BB"/>
    <w:rsid w:val="009F4D3E"/>
    <w:rsid w:val="009F4DFE"/>
    <w:rsid w:val="009F53EE"/>
    <w:rsid w:val="009F5446"/>
    <w:rsid w:val="009F570A"/>
    <w:rsid w:val="009F5B40"/>
    <w:rsid w:val="009F6605"/>
    <w:rsid w:val="009F6F56"/>
    <w:rsid w:val="009F6FAA"/>
    <w:rsid w:val="00A0092A"/>
    <w:rsid w:val="00A00CD9"/>
    <w:rsid w:val="00A01019"/>
    <w:rsid w:val="00A01760"/>
    <w:rsid w:val="00A02201"/>
    <w:rsid w:val="00A02A5A"/>
    <w:rsid w:val="00A03122"/>
    <w:rsid w:val="00A0334F"/>
    <w:rsid w:val="00A03BE3"/>
    <w:rsid w:val="00A04415"/>
    <w:rsid w:val="00A047B7"/>
    <w:rsid w:val="00A0517E"/>
    <w:rsid w:val="00A0554C"/>
    <w:rsid w:val="00A05978"/>
    <w:rsid w:val="00A05BAF"/>
    <w:rsid w:val="00A05E34"/>
    <w:rsid w:val="00A06C95"/>
    <w:rsid w:val="00A11568"/>
    <w:rsid w:val="00A1191A"/>
    <w:rsid w:val="00A12236"/>
    <w:rsid w:val="00A123B4"/>
    <w:rsid w:val="00A12C19"/>
    <w:rsid w:val="00A12DC8"/>
    <w:rsid w:val="00A13FA9"/>
    <w:rsid w:val="00A14194"/>
    <w:rsid w:val="00A145FE"/>
    <w:rsid w:val="00A14C53"/>
    <w:rsid w:val="00A16099"/>
    <w:rsid w:val="00A162BB"/>
    <w:rsid w:val="00A168C0"/>
    <w:rsid w:val="00A17243"/>
    <w:rsid w:val="00A17497"/>
    <w:rsid w:val="00A17852"/>
    <w:rsid w:val="00A202F4"/>
    <w:rsid w:val="00A208C2"/>
    <w:rsid w:val="00A2096A"/>
    <w:rsid w:val="00A20C4B"/>
    <w:rsid w:val="00A218AE"/>
    <w:rsid w:val="00A21AA1"/>
    <w:rsid w:val="00A21E06"/>
    <w:rsid w:val="00A2265D"/>
    <w:rsid w:val="00A22B59"/>
    <w:rsid w:val="00A23072"/>
    <w:rsid w:val="00A24C0A"/>
    <w:rsid w:val="00A24CEE"/>
    <w:rsid w:val="00A24CFA"/>
    <w:rsid w:val="00A25844"/>
    <w:rsid w:val="00A26315"/>
    <w:rsid w:val="00A26384"/>
    <w:rsid w:val="00A2676D"/>
    <w:rsid w:val="00A26D0B"/>
    <w:rsid w:val="00A2728E"/>
    <w:rsid w:val="00A273B8"/>
    <w:rsid w:val="00A27943"/>
    <w:rsid w:val="00A30324"/>
    <w:rsid w:val="00A30A5B"/>
    <w:rsid w:val="00A31011"/>
    <w:rsid w:val="00A31022"/>
    <w:rsid w:val="00A3102F"/>
    <w:rsid w:val="00A313BC"/>
    <w:rsid w:val="00A31A4A"/>
    <w:rsid w:val="00A31CF8"/>
    <w:rsid w:val="00A323BE"/>
    <w:rsid w:val="00A32485"/>
    <w:rsid w:val="00A32571"/>
    <w:rsid w:val="00A32B1E"/>
    <w:rsid w:val="00A32F45"/>
    <w:rsid w:val="00A33D10"/>
    <w:rsid w:val="00A3490D"/>
    <w:rsid w:val="00A34BCF"/>
    <w:rsid w:val="00A34DB2"/>
    <w:rsid w:val="00A350BC"/>
    <w:rsid w:val="00A351BE"/>
    <w:rsid w:val="00A351D0"/>
    <w:rsid w:val="00A355D3"/>
    <w:rsid w:val="00A356F1"/>
    <w:rsid w:val="00A359F9"/>
    <w:rsid w:val="00A35D3B"/>
    <w:rsid w:val="00A35D61"/>
    <w:rsid w:val="00A3684D"/>
    <w:rsid w:val="00A36ABB"/>
    <w:rsid w:val="00A36C3C"/>
    <w:rsid w:val="00A37160"/>
    <w:rsid w:val="00A3789B"/>
    <w:rsid w:val="00A37C06"/>
    <w:rsid w:val="00A4006B"/>
    <w:rsid w:val="00A41015"/>
    <w:rsid w:val="00A418C9"/>
    <w:rsid w:val="00A42148"/>
    <w:rsid w:val="00A423B1"/>
    <w:rsid w:val="00A43349"/>
    <w:rsid w:val="00A43477"/>
    <w:rsid w:val="00A43A5C"/>
    <w:rsid w:val="00A43B4F"/>
    <w:rsid w:val="00A43C0A"/>
    <w:rsid w:val="00A43CC0"/>
    <w:rsid w:val="00A43EF8"/>
    <w:rsid w:val="00A4404E"/>
    <w:rsid w:val="00A442B5"/>
    <w:rsid w:val="00A451F4"/>
    <w:rsid w:val="00A45242"/>
    <w:rsid w:val="00A45E04"/>
    <w:rsid w:val="00A45FE7"/>
    <w:rsid w:val="00A46C3D"/>
    <w:rsid w:val="00A4720B"/>
    <w:rsid w:val="00A50476"/>
    <w:rsid w:val="00A50941"/>
    <w:rsid w:val="00A50EAA"/>
    <w:rsid w:val="00A5130F"/>
    <w:rsid w:val="00A51383"/>
    <w:rsid w:val="00A51491"/>
    <w:rsid w:val="00A51826"/>
    <w:rsid w:val="00A51886"/>
    <w:rsid w:val="00A52088"/>
    <w:rsid w:val="00A526FE"/>
    <w:rsid w:val="00A52A31"/>
    <w:rsid w:val="00A52B6D"/>
    <w:rsid w:val="00A530AB"/>
    <w:rsid w:val="00A53107"/>
    <w:rsid w:val="00A5319F"/>
    <w:rsid w:val="00A5332B"/>
    <w:rsid w:val="00A53749"/>
    <w:rsid w:val="00A539C5"/>
    <w:rsid w:val="00A53F86"/>
    <w:rsid w:val="00A5452E"/>
    <w:rsid w:val="00A548F4"/>
    <w:rsid w:val="00A54966"/>
    <w:rsid w:val="00A549CA"/>
    <w:rsid w:val="00A556D1"/>
    <w:rsid w:val="00A55706"/>
    <w:rsid w:val="00A558C7"/>
    <w:rsid w:val="00A5605D"/>
    <w:rsid w:val="00A5667E"/>
    <w:rsid w:val="00A56B45"/>
    <w:rsid w:val="00A57B3D"/>
    <w:rsid w:val="00A60B35"/>
    <w:rsid w:val="00A60DB0"/>
    <w:rsid w:val="00A60ED0"/>
    <w:rsid w:val="00A61010"/>
    <w:rsid w:val="00A613A2"/>
    <w:rsid w:val="00A62F5B"/>
    <w:rsid w:val="00A63097"/>
    <w:rsid w:val="00A63BC3"/>
    <w:rsid w:val="00A63C57"/>
    <w:rsid w:val="00A63E56"/>
    <w:rsid w:val="00A63EF7"/>
    <w:rsid w:val="00A64054"/>
    <w:rsid w:val="00A65500"/>
    <w:rsid w:val="00A6556D"/>
    <w:rsid w:val="00A6575E"/>
    <w:rsid w:val="00A6591B"/>
    <w:rsid w:val="00A66ACD"/>
    <w:rsid w:val="00A66FDF"/>
    <w:rsid w:val="00A70413"/>
    <w:rsid w:val="00A709E0"/>
    <w:rsid w:val="00A71788"/>
    <w:rsid w:val="00A7240C"/>
    <w:rsid w:val="00A727B4"/>
    <w:rsid w:val="00A72889"/>
    <w:rsid w:val="00A72916"/>
    <w:rsid w:val="00A72DCF"/>
    <w:rsid w:val="00A74338"/>
    <w:rsid w:val="00A74350"/>
    <w:rsid w:val="00A74589"/>
    <w:rsid w:val="00A74968"/>
    <w:rsid w:val="00A74A1E"/>
    <w:rsid w:val="00A74A4D"/>
    <w:rsid w:val="00A74B45"/>
    <w:rsid w:val="00A75777"/>
    <w:rsid w:val="00A75EB3"/>
    <w:rsid w:val="00A75F4E"/>
    <w:rsid w:val="00A76411"/>
    <w:rsid w:val="00A76A53"/>
    <w:rsid w:val="00A76F8F"/>
    <w:rsid w:val="00A772FE"/>
    <w:rsid w:val="00A77391"/>
    <w:rsid w:val="00A808EE"/>
    <w:rsid w:val="00A81530"/>
    <w:rsid w:val="00A81922"/>
    <w:rsid w:val="00A81BF2"/>
    <w:rsid w:val="00A81F00"/>
    <w:rsid w:val="00A82C0D"/>
    <w:rsid w:val="00A8343E"/>
    <w:rsid w:val="00A835F8"/>
    <w:rsid w:val="00A838EB"/>
    <w:rsid w:val="00A839D3"/>
    <w:rsid w:val="00A84025"/>
    <w:rsid w:val="00A845A4"/>
    <w:rsid w:val="00A84628"/>
    <w:rsid w:val="00A855FD"/>
    <w:rsid w:val="00A85694"/>
    <w:rsid w:val="00A857BC"/>
    <w:rsid w:val="00A858B1"/>
    <w:rsid w:val="00A85DDA"/>
    <w:rsid w:val="00A85E69"/>
    <w:rsid w:val="00A86163"/>
    <w:rsid w:val="00A86312"/>
    <w:rsid w:val="00A900D9"/>
    <w:rsid w:val="00A903EB"/>
    <w:rsid w:val="00A9133B"/>
    <w:rsid w:val="00A913CD"/>
    <w:rsid w:val="00A91F7F"/>
    <w:rsid w:val="00A9226A"/>
    <w:rsid w:val="00A92775"/>
    <w:rsid w:val="00A927D4"/>
    <w:rsid w:val="00A92946"/>
    <w:rsid w:val="00A93059"/>
    <w:rsid w:val="00A931C9"/>
    <w:rsid w:val="00A938A3"/>
    <w:rsid w:val="00A93AC2"/>
    <w:rsid w:val="00A93AD4"/>
    <w:rsid w:val="00A942E4"/>
    <w:rsid w:val="00A94688"/>
    <w:rsid w:val="00A94D85"/>
    <w:rsid w:val="00A95145"/>
    <w:rsid w:val="00A97049"/>
    <w:rsid w:val="00A9731E"/>
    <w:rsid w:val="00A97C94"/>
    <w:rsid w:val="00A97E41"/>
    <w:rsid w:val="00AA0899"/>
    <w:rsid w:val="00AA0915"/>
    <w:rsid w:val="00AA09CB"/>
    <w:rsid w:val="00AA0B68"/>
    <w:rsid w:val="00AA0BB6"/>
    <w:rsid w:val="00AA0FF3"/>
    <w:rsid w:val="00AA10E6"/>
    <w:rsid w:val="00AA15C2"/>
    <w:rsid w:val="00AA196D"/>
    <w:rsid w:val="00AA1BC9"/>
    <w:rsid w:val="00AA1CC0"/>
    <w:rsid w:val="00AA1E2D"/>
    <w:rsid w:val="00AA23DC"/>
    <w:rsid w:val="00AA23E1"/>
    <w:rsid w:val="00AA24D7"/>
    <w:rsid w:val="00AA27C6"/>
    <w:rsid w:val="00AA2BB6"/>
    <w:rsid w:val="00AA2D11"/>
    <w:rsid w:val="00AA3353"/>
    <w:rsid w:val="00AA41AD"/>
    <w:rsid w:val="00AA45DD"/>
    <w:rsid w:val="00AA497E"/>
    <w:rsid w:val="00AA49B0"/>
    <w:rsid w:val="00AA536C"/>
    <w:rsid w:val="00AA5F00"/>
    <w:rsid w:val="00AA616D"/>
    <w:rsid w:val="00AA62D1"/>
    <w:rsid w:val="00AA6766"/>
    <w:rsid w:val="00AA6788"/>
    <w:rsid w:val="00AA67E6"/>
    <w:rsid w:val="00AA6A37"/>
    <w:rsid w:val="00AA7565"/>
    <w:rsid w:val="00AA7F3C"/>
    <w:rsid w:val="00AB0073"/>
    <w:rsid w:val="00AB02A7"/>
    <w:rsid w:val="00AB02DE"/>
    <w:rsid w:val="00AB222D"/>
    <w:rsid w:val="00AB2270"/>
    <w:rsid w:val="00AB278E"/>
    <w:rsid w:val="00AB3200"/>
    <w:rsid w:val="00AB3305"/>
    <w:rsid w:val="00AB35F0"/>
    <w:rsid w:val="00AB376A"/>
    <w:rsid w:val="00AB3D67"/>
    <w:rsid w:val="00AB3E45"/>
    <w:rsid w:val="00AB4F8E"/>
    <w:rsid w:val="00AB5455"/>
    <w:rsid w:val="00AB58AC"/>
    <w:rsid w:val="00AB5A8A"/>
    <w:rsid w:val="00AB5E56"/>
    <w:rsid w:val="00AB6341"/>
    <w:rsid w:val="00AB6978"/>
    <w:rsid w:val="00AB6BE9"/>
    <w:rsid w:val="00AB75D3"/>
    <w:rsid w:val="00AB78C2"/>
    <w:rsid w:val="00AC0301"/>
    <w:rsid w:val="00AC08B8"/>
    <w:rsid w:val="00AC1801"/>
    <w:rsid w:val="00AC1D10"/>
    <w:rsid w:val="00AC21C4"/>
    <w:rsid w:val="00AC2243"/>
    <w:rsid w:val="00AC2AF4"/>
    <w:rsid w:val="00AC3006"/>
    <w:rsid w:val="00AC3203"/>
    <w:rsid w:val="00AC430F"/>
    <w:rsid w:val="00AC44BD"/>
    <w:rsid w:val="00AC46D6"/>
    <w:rsid w:val="00AC50B3"/>
    <w:rsid w:val="00AC5F12"/>
    <w:rsid w:val="00AC61B8"/>
    <w:rsid w:val="00AC6314"/>
    <w:rsid w:val="00AC6983"/>
    <w:rsid w:val="00AC69EF"/>
    <w:rsid w:val="00AC70EF"/>
    <w:rsid w:val="00AC7133"/>
    <w:rsid w:val="00AD02D3"/>
    <w:rsid w:val="00AD09B7"/>
    <w:rsid w:val="00AD0D51"/>
    <w:rsid w:val="00AD1764"/>
    <w:rsid w:val="00AD35BE"/>
    <w:rsid w:val="00AD3709"/>
    <w:rsid w:val="00AD3803"/>
    <w:rsid w:val="00AD3CB5"/>
    <w:rsid w:val="00AD3CFC"/>
    <w:rsid w:val="00AD409F"/>
    <w:rsid w:val="00AD43EA"/>
    <w:rsid w:val="00AD45F0"/>
    <w:rsid w:val="00AD4645"/>
    <w:rsid w:val="00AD6674"/>
    <w:rsid w:val="00AD6738"/>
    <w:rsid w:val="00AD67D4"/>
    <w:rsid w:val="00AD6E30"/>
    <w:rsid w:val="00AD7A76"/>
    <w:rsid w:val="00AD7C46"/>
    <w:rsid w:val="00AD7EED"/>
    <w:rsid w:val="00AD7F19"/>
    <w:rsid w:val="00AD7F3C"/>
    <w:rsid w:val="00AD7FC3"/>
    <w:rsid w:val="00AE08EA"/>
    <w:rsid w:val="00AE0C4A"/>
    <w:rsid w:val="00AE1190"/>
    <w:rsid w:val="00AE16BA"/>
    <w:rsid w:val="00AE2080"/>
    <w:rsid w:val="00AE22AC"/>
    <w:rsid w:val="00AE343A"/>
    <w:rsid w:val="00AE3547"/>
    <w:rsid w:val="00AE44E4"/>
    <w:rsid w:val="00AE47B5"/>
    <w:rsid w:val="00AE487F"/>
    <w:rsid w:val="00AE4FDA"/>
    <w:rsid w:val="00AE5328"/>
    <w:rsid w:val="00AE54C5"/>
    <w:rsid w:val="00AE5A33"/>
    <w:rsid w:val="00AE690F"/>
    <w:rsid w:val="00AE6B6C"/>
    <w:rsid w:val="00AE74C3"/>
    <w:rsid w:val="00AE789B"/>
    <w:rsid w:val="00AE795D"/>
    <w:rsid w:val="00AE7986"/>
    <w:rsid w:val="00AF10F9"/>
    <w:rsid w:val="00AF1839"/>
    <w:rsid w:val="00AF22DA"/>
    <w:rsid w:val="00AF259C"/>
    <w:rsid w:val="00AF2804"/>
    <w:rsid w:val="00AF286A"/>
    <w:rsid w:val="00AF2EF6"/>
    <w:rsid w:val="00AF3682"/>
    <w:rsid w:val="00AF39CB"/>
    <w:rsid w:val="00AF5B7C"/>
    <w:rsid w:val="00AF5BBC"/>
    <w:rsid w:val="00AF66C2"/>
    <w:rsid w:val="00AF6836"/>
    <w:rsid w:val="00AF6894"/>
    <w:rsid w:val="00AF722F"/>
    <w:rsid w:val="00AF7408"/>
    <w:rsid w:val="00AF753C"/>
    <w:rsid w:val="00AF78B9"/>
    <w:rsid w:val="00AF7AEB"/>
    <w:rsid w:val="00B002CC"/>
    <w:rsid w:val="00B00A45"/>
    <w:rsid w:val="00B00D67"/>
    <w:rsid w:val="00B00DEB"/>
    <w:rsid w:val="00B00FCA"/>
    <w:rsid w:val="00B0193E"/>
    <w:rsid w:val="00B027DA"/>
    <w:rsid w:val="00B02C4C"/>
    <w:rsid w:val="00B02F44"/>
    <w:rsid w:val="00B0329C"/>
    <w:rsid w:val="00B034A0"/>
    <w:rsid w:val="00B03C21"/>
    <w:rsid w:val="00B03C7C"/>
    <w:rsid w:val="00B03CB2"/>
    <w:rsid w:val="00B049D0"/>
    <w:rsid w:val="00B04F57"/>
    <w:rsid w:val="00B057B4"/>
    <w:rsid w:val="00B062AC"/>
    <w:rsid w:val="00B06605"/>
    <w:rsid w:val="00B06F2D"/>
    <w:rsid w:val="00B07FD1"/>
    <w:rsid w:val="00B101A2"/>
    <w:rsid w:val="00B102AC"/>
    <w:rsid w:val="00B106E5"/>
    <w:rsid w:val="00B10C96"/>
    <w:rsid w:val="00B10E21"/>
    <w:rsid w:val="00B112CC"/>
    <w:rsid w:val="00B11862"/>
    <w:rsid w:val="00B1244A"/>
    <w:rsid w:val="00B12D85"/>
    <w:rsid w:val="00B13B59"/>
    <w:rsid w:val="00B13BA7"/>
    <w:rsid w:val="00B13F6F"/>
    <w:rsid w:val="00B14480"/>
    <w:rsid w:val="00B14486"/>
    <w:rsid w:val="00B1456F"/>
    <w:rsid w:val="00B148FC"/>
    <w:rsid w:val="00B14A1D"/>
    <w:rsid w:val="00B14A9A"/>
    <w:rsid w:val="00B14E0E"/>
    <w:rsid w:val="00B14E23"/>
    <w:rsid w:val="00B1528A"/>
    <w:rsid w:val="00B158DA"/>
    <w:rsid w:val="00B15BAE"/>
    <w:rsid w:val="00B15C82"/>
    <w:rsid w:val="00B15CDE"/>
    <w:rsid w:val="00B1618A"/>
    <w:rsid w:val="00B16B0F"/>
    <w:rsid w:val="00B1712F"/>
    <w:rsid w:val="00B20948"/>
    <w:rsid w:val="00B20AC5"/>
    <w:rsid w:val="00B20FFA"/>
    <w:rsid w:val="00B2194A"/>
    <w:rsid w:val="00B232D8"/>
    <w:rsid w:val="00B23520"/>
    <w:rsid w:val="00B237D5"/>
    <w:rsid w:val="00B24312"/>
    <w:rsid w:val="00B24B2B"/>
    <w:rsid w:val="00B251AD"/>
    <w:rsid w:val="00B254BD"/>
    <w:rsid w:val="00B25A0F"/>
    <w:rsid w:val="00B25B87"/>
    <w:rsid w:val="00B26305"/>
    <w:rsid w:val="00B26628"/>
    <w:rsid w:val="00B2665D"/>
    <w:rsid w:val="00B26A7D"/>
    <w:rsid w:val="00B26AD3"/>
    <w:rsid w:val="00B27224"/>
    <w:rsid w:val="00B2784F"/>
    <w:rsid w:val="00B304C3"/>
    <w:rsid w:val="00B305FF"/>
    <w:rsid w:val="00B30DE9"/>
    <w:rsid w:val="00B3163C"/>
    <w:rsid w:val="00B31E23"/>
    <w:rsid w:val="00B32047"/>
    <w:rsid w:val="00B32093"/>
    <w:rsid w:val="00B32114"/>
    <w:rsid w:val="00B325A1"/>
    <w:rsid w:val="00B32866"/>
    <w:rsid w:val="00B32A10"/>
    <w:rsid w:val="00B32EF0"/>
    <w:rsid w:val="00B34438"/>
    <w:rsid w:val="00B35470"/>
    <w:rsid w:val="00B364C6"/>
    <w:rsid w:val="00B365CD"/>
    <w:rsid w:val="00B371AB"/>
    <w:rsid w:val="00B3722C"/>
    <w:rsid w:val="00B37495"/>
    <w:rsid w:val="00B37A54"/>
    <w:rsid w:val="00B400EE"/>
    <w:rsid w:val="00B4037B"/>
    <w:rsid w:val="00B404AF"/>
    <w:rsid w:val="00B4069A"/>
    <w:rsid w:val="00B40B6A"/>
    <w:rsid w:val="00B40E27"/>
    <w:rsid w:val="00B41082"/>
    <w:rsid w:val="00B4139D"/>
    <w:rsid w:val="00B41432"/>
    <w:rsid w:val="00B41513"/>
    <w:rsid w:val="00B41531"/>
    <w:rsid w:val="00B41D15"/>
    <w:rsid w:val="00B41D4F"/>
    <w:rsid w:val="00B42048"/>
    <w:rsid w:val="00B4230A"/>
    <w:rsid w:val="00B427A1"/>
    <w:rsid w:val="00B42E6D"/>
    <w:rsid w:val="00B432CC"/>
    <w:rsid w:val="00B432EB"/>
    <w:rsid w:val="00B43914"/>
    <w:rsid w:val="00B43990"/>
    <w:rsid w:val="00B459DA"/>
    <w:rsid w:val="00B45C7E"/>
    <w:rsid w:val="00B460CD"/>
    <w:rsid w:val="00B4670A"/>
    <w:rsid w:val="00B4799A"/>
    <w:rsid w:val="00B47BB6"/>
    <w:rsid w:val="00B47D09"/>
    <w:rsid w:val="00B500FD"/>
    <w:rsid w:val="00B50267"/>
    <w:rsid w:val="00B5074A"/>
    <w:rsid w:val="00B50BEA"/>
    <w:rsid w:val="00B51014"/>
    <w:rsid w:val="00B5138D"/>
    <w:rsid w:val="00B51B5A"/>
    <w:rsid w:val="00B525AF"/>
    <w:rsid w:val="00B527FE"/>
    <w:rsid w:val="00B52857"/>
    <w:rsid w:val="00B528B2"/>
    <w:rsid w:val="00B52EED"/>
    <w:rsid w:val="00B53F9E"/>
    <w:rsid w:val="00B54AD8"/>
    <w:rsid w:val="00B54E65"/>
    <w:rsid w:val="00B5527F"/>
    <w:rsid w:val="00B55851"/>
    <w:rsid w:val="00B55D94"/>
    <w:rsid w:val="00B56467"/>
    <w:rsid w:val="00B56570"/>
    <w:rsid w:val="00B56877"/>
    <w:rsid w:val="00B57650"/>
    <w:rsid w:val="00B57A0E"/>
    <w:rsid w:val="00B57DB1"/>
    <w:rsid w:val="00B6091A"/>
    <w:rsid w:val="00B6147F"/>
    <w:rsid w:val="00B61564"/>
    <w:rsid w:val="00B61B0F"/>
    <w:rsid w:val="00B63E83"/>
    <w:rsid w:val="00B65A70"/>
    <w:rsid w:val="00B66754"/>
    <w:rsid w:val="00B66847"/>
    <w:rsid w:val="00B67525"/>
    <w:rsid w:val="00B67736"/>
    <w:rsid w:val="00B67D57"/>
    <w:rsid w:val="00B70814"/>
    <w:rsid w:val="00B70F79"/>
    <w:rsid w:val="00B714E5"/>
    <w:rsid w:val="00B71EA1"/>
    <w:rsid w:val="00B7246E"/>
    <w:rsid w:val="00B72519"/>
    <w:rsid w:val="00B72B95"/>
    <w:rsid w:val="00B72C20"/>
    <w:rsid w:val="00B72CE9"/>
    <w:rsid w:val="00B72DFF"/>
    <w:rsid w:val="00B739A1"/>
    <w:rsid w:val="00B73D7A"/>
    <w:rsid w:val="00B744E9"/>
    <w:rsid w:val="00B74E55"/>
    <w:rsid w:val="00B750BD"/>
    <w:rsid w:val="00B7517F"/>
    <w:rsid w:val="00B7530C"/>
    <w:rsid w:val="00B75903"/>
    <w:rsid w:val="00B75DB9"/>
    <w:rsid w:val="00B75F7A"/>
    <w:rsid w:val="00B76576"/>
    <w:rsid w:val="00B76EA4"/>
    <w:rsid w:val="00B77683"/>
    <w:rsid w:val="00B77744"/>
    <w:rsid w:val="00B80382"/>
    <w:rsid w:val="00B80B50"/>
    <w:rsid w:val="00B812EB"/>
    <w:rsid w:val="00B813DE"/>
    <w:rsid w:val="00B819A9"/>
    <w:rsid w:val="00B81B8D"/>
    <w:rsid w:val="00B81E86"/>
    <w:rsid w:val="00B81F89"/>
    <w:rsid w:val="00B822A0"/>
    <w:rsid w:val="00B8328F"/>
    <w:rsid w:val="00B83293"/>
    <w:rsid w:val="00B83302"/>
    <w:rsid w:val="00B833C1"/>
    <w:rsid w:val="00B837CA"/>
    <w:rsid w:val="00B83A43"/>
    <w:rsid w:val="00B84166"/>
    <w:rsid w:val="00B853B4"/>
    <w:rsid w:val="00B857F5"/>
    <w:rsid w:val="00B85C89"/>
    <w:rsid w:val="00B85F31"/>
    <w:rsid w:val="00B862B4"/>
    <w:rsid w:val="00B8647B"/>
    <w:rsid w:val="00B86875"/>
    <w:rsid w:val="00B86BA7"/>
    <w:rsid w:val="00B86C35"/>
    <w:rsid w:val="00B86C50"/>
    <w:rsid w:val="00B87907"/>
    <w:rsid w:val="00B87A76"/>
    <w:rsid w:val="00B9072D"/>
    <w:rsid w:val="00B90A83"/>
    <w:rsid w:val="00B90BF0"/>
    <w:rsid w:val="00B90C79"/>
    <w:rsid w:val="00B91879"/>
    <w:rsid w:val="00B91BB8"/>
    <w:rsid w:val="00B91C89"/>
    <w:rsid w:val="00B91E23"/>
    <w:rsid w:val="00B91E49"/>
    <w:rsid w:val="00B91F8D"/>
    <w:rsid w:val="00B92558"/>
    <w:rsid w:val="00B927C3"/>
    <w:rsid w:val="00B92D18"/>
    <w:rsid w:val="00B92D94"/>
    <w:rsid w:val="00B93792"/>
    <w:rsid w:val="00B9422B"/>
    <w:rsid w:val="00B950C6"/>
    <w:rsid w:val="00B95679"/>
    <w:rsid w:val="00B95794"/>
    <w:rsid w:val="00B95D60"/>
    <w:rsid w:val="00B95D88"/>
    <w:rsid w:val="00B9618F"/>
    <w:rsid w:val="00B96491"/>
    <w:rsid w:val="00B9657E"/>
    <w:rsid w:val="00B96729"/>
    <w:rsid w:val="00B96C83"/>
    <w:rsid w:val="00B96D71"/>
    <w:rsid w:val="00B96E28"/>
    <w:rsid w:val="00B96F85"/>
    <w:rsid w:val="00B96FBF"/>
    <w:rsid w:val="00B97617"/>
    <w:rsid w:val="00B976D8"/>
    <w:rsid w:val="00B97D24"/>
    <w:rsid w:val="00BA0630"/>
    <w:rsid w:val="00BA0BE9"/>
    <w:rsid w:val="00BA0E1A"/>
    <w:rsid w:val="00BA1A87"/>
    <w:rsid w:val="00BA1B13"/>
    <w:rsid w:val="00BA2438"/>
    <w:rsid w:val="00BA271B"/>
    <w:rsid w:val="00BA2DC5"/>
    <w:rsid w:val="00BA3043"/>
    <w:rsid w:val="00BA48E2"/>
    <w:rsid w:val="00BA492D"/>
    <w:rsid w:val="00BA4C8E"/>
    <w:rsid w:val="00BA52D3"/>
    <w:rsid w:val="00BA5785"/>
    <w:rsid w:val="00BA5987"/>
    <w:rsid w:val="00BA59F0"/>
    <w:rsid w:val="00BA5A99"/>
    <w:rsid w:val="00BA5B6A"/>
    <w:rsid w:val="00BA5EF8"/>
    <w:rsid w:val="00BA620C"/>
    <w:rsid w:val="00BA6801"/>
    <w:rsid w:val="00BA6A73"/>
    <w:rsid w:val="00BA6E1D"/>
    <w:rsid w:val="00BA6EAC"/>
    <w:rsid w:val="00BA7E8D"/>
    <w:rsid w:val="00BB05B4"/>
    <w:rsid w:val="00BB0C98"/>
    <w:rsid w:val="00BB0D74"/>
    <w:rsid w:val="00BB1138"/>
    <w:rsid w:val="00BB1174"/>
    <w:rsid w:val="00BB15AC"/>
    <w:rsid w:val="00BB1C2E"/>
    <w:rsid w:val="00BB2290"/>
    <w:rsid w:val="00BB2445"/>
    <w:rsid w:val="00BB24B1"/>
    <w:rsid w:val="00BB2519"/>
    <w:rsid w:val="00BB2536"/>
    <w:rsid w:val="00BB2775"/>
    <w:rsid w:val="00BB277D"/>
    <w:rsid w:val="00BB28AC"/>
    <w:rsid w:val="00BB31DA"/>
    <w:rsid w:val="00BB354E"/>
    <w:rsid w:val="00BB3622"/>
    <w:rsid w:val="00BB3A14"/>
    <w:rsid w:val="00BB3B79"/>
    <w:rsid w:val="00BB3E04"/>
    <w:rsid w:val="00BB3E20"/>
    <w:rsid w:val="00BB3F7D"/>
    <w:rsid w:val="00BB4BD7"/>
    <w:rsid w:val="00BB5270"/>
    <w:rsid w:val="00BB5572"/>
    <w:rsid w:val="00BB5E1A"/>
    <w:rsid w:val="00BB6126"/>
    <w:rsid w:val="00BB666C"/>
    <w:rsid w:val="00BB69CC"/>
    <w:rsid w:val="00BB6A34"/>
    <w:rsid w:val="00BB71A9"/>
    <w:rsid w:val="00BB7564"/>
    <w:rsid w:val="00BB7F0A"/>
    <w:rsid w:val="00BC03AF"/>
    <w:rsid w:val="00BC040D"/>
    <w:rsid w:val="00BC04A8"/>
    <w:rsid w:val="00BC0FA7"/>
    <w:rsid w:val="00BC1488"/>
    <w:rsid w:val="00BC224F"/>
    <w:rsid w:val="00BC2AD2"/>
    <w:rsid w:val="00BC2CF9"/>
    <w:rsid w:val="00BC3726"/>
    <w:rsid w:val="00BC375A"/>
    <w:rsid w:val="00BC3BFB"/>
    <w:rsid w:val="00BC3F4E"/>
    <w:rsid w:val="00BC4247"/>
    <w:rsid w:val="00BC43A7"/>
    <w:rsid w:val="00BC43E9"/>
    <w:rsid w:val="00BC4444"/>
    <w:rsid w:val="00BC4944"/>
    <w:rsid w:val="00BC49E6"/>
    <w:rsid w:val="00BC4F38"/>
    <w:rsid w:val="00BC5B8D"/>
    <w:rsid w:val="00BC5C7C"/>
    <w:rsid w:val="00BC6B9F"/>
    <w:rsid w:val="00BD0250"/>
    <w:rsid w:val="00BD0911"/>
    <w:rsid w:val="00BD0A4F"/>
    <w:rsid w:val="00BD0BA8"/>
    <w:rsid w:val="00BD0F8B"/>
    <w:rsid w:val="00BD115A"/>
    <w:rsid w:val="00BD1AA5"/>
    <w:rsid w:val="00BD1D27"/>
    <w:rsid w:val="00BD274B"/>
    <w:rsid w:val="00BD34F2"/>
    <w:rsid w:val="00BD43B4"/>
    <w:rsid w:val="00BD447D"/>
    <w:rsid w:val="00BD48E4"/>
    <w:rsid w:val="00BD4DE8"/>
    <w:rsid w:val="00BD5004"/>
    <w:rsid w:val="00BD5073"/>
    <w:rsid w:val="00BD550B"/>
    <w:rsid w:val="00BD59F4"/>
    <w:rsid w:val="00BD6142"/>
    <w:rsid w:val="00BD63EA"/>
    <w:rsid w:val="00BD68DD"/>
    <w:rsid w:val="00BD6F75"/>
    <w:rsid w:val="00BD709C"/>
    <w:rsid w:val="00BD724B"/>
    <w:rsid w:val="00BD74EC"/>
    <w:rsid w:val="00BD7C48"/>
    <w:rsid w:val="00BD7ED0"/>
    <w:rsid w:val="00BE0586"/>
    <w:rsid w:val="00BE060A"/>
    <w:rsid w:val="00BE069F"/>
    <w:rsid w:val="00BE11BC"/>
    <w:rsid w:val="00BE135C"/>
    <w:rsid w:val="00BE1E38"/>
    <w:rsid w:val="00BE268D"/>
    <w:rsid w:val="00BE2796"/>
    <w:rsid w:val="00BE29FC"/>
    <w:rsid w:val="00BE2BF6"/>
    <w:rsid w:val="00BE2C56"/>
    <w:rsid w:val="00BE32B3"/>
    <w:rsid w:val="00BE3314"/>
    <w:rsid w:val="00BE4020"/>
    <w:rsid w:val="00BE43AE"/>
    <w:rsid w:val="00BE445F"/>
    <w:rsid w:val="00BE4461"/>
    <w:rsid w:val="00BE47BE"/>
    <w:rsid w:val="00BE5274"/>
    <w:rsid w:val="00BE6F1E"/>
    <w:rsid w:val="00BE710B"/>
    <w:rsid w:val="00BE73A2"/>
    <w:rsid w:val="00BF00B8"/>
    <w:rsid w:val="00BF02BD"/>
    <w:rsid w:val="00BF035D"/>
    <w:rsid w:val="00BF08B9"/>
    <w:rsid w:val="00BF08BD"/>
    <w:rsid w:val="00BF0E40"/>
    <w:rsid w:val="00BF10C8"/>
    <w:rsid w:val="00BF1191"/>
    <w:rsid w:val="00BF127E"/>
    <w:rsid w:val="00BF12C9"/>
    <w:rsid w:val="00BF182B"/>
    <w:rsid w:val="00BF23C9"/>
    <w:rsid w:val="00BF2DBC"/>
    <w:rsid w:val="00BF313E"/>
    <w:rsid w:val="00BF345C"/>
    <w:rsid w:val="00BF3FD0"/>
    <w:rsid w:val="00BF44A4"/>
    <w:rsid w:val="00BF4B1C"/>
    <w:rsid w:val="00BF617A"/>
    <w:rsid w:val="00BF61D5"/>
    <w:rsid w:val="00BF66DC"/>
    <w:rsid w:val="00BF675A"/>
    <w:rsid w:val="00BF6915"/>
    <w:rsid w:val="00BF6CF6"/>
    <w:rsid w:val="00BF7042"/>
    <w:rsid w:val="00BF72F8"/>
    <w:rsid w:val="00BF772C"/>
    <w:rsid w:val="00BF78AF"/>
    <w:rsid w:val="00C00A7B"/>
    <w:rsid w:val="00C00B0D"/>
    <w:rsid w:val="00C00BC2"/>
    <w:rsid w:val="00C00C47"/>
    <w:rsid w:val="00C01345"/>
    <w:rsid w:val="00C016EB"/>
    <w:rsid w:val="00C01FB3"/>
    <w:rsid w:val="00C020FC"/>
    <w:rsid w:val="00C022C7"/>
    <w:rsid w:val="00C02461"/>
    <w:rsid w:val="00C024AB"/>
    <w:rsid w:val="00C02913"/>
    <w:rsid w:val="00C03250"/>
    <w:rsid w:val="00C032BA"/>
    <w:rsid w:val="00C039C2"/>
    <w:rsid w:val="00C03A28"/>
    <w:rsid w:val="00C04348"/>
    <w:rsid w:val="00C044F5"/>
    <w:rsid w:val="00C045C2"/>
    <w:rsid w:val="00C048F6"/>
    <w:rsid w:val="00C074D9"/>
    <w:rsid w:val="00C075EF"/>
    <w:rsid w:val="00C07F50"/>
    <w:rsid w:val="00C1056B"/>
    <w:rsid w:val="00C10AA7"/>
    <w:rsid w:val="00C10CA8"/>
    <w:rsid w:val="00C1155C"/>
    <w:rsid w:val="00C12443"/>
    <w:rsid w:val="00C12D85"/>
    <w:rsid w:val="00C13368"/>
    <w:rsid w:val="00C13372"/>
    <w:rsid w:val="00C13838"/>
    <w:rsid w:val="00C1389F"/>
    <w:rsid w:val="00C13CB1"/>
    <w:rsid w:val="00C13FED"/>
    <w:rsid w:val="00C14673"/>
    <w:rsid w:val="00C15198"/>
    <w:rsid w:val="00C15242"/>
    <w:rsid w:val="00C16B16"/>
    <w:rsid w:val="00C16CA7"/>
    <w:rsid w:val="00C1794F"/>
    <w:rsid w:val="00C17AD0"/>
    <w:rsid w:val="00C2175D"/>
    <w:rsid w:val="00C23293"/>
    <w:rsid w:val="00C23997"/>
    <w:rsid w:val="00C24445"/>
    <w:rsid w:val="00C2446D"/>
    <w:rsid w:val="00C24CB1"/>
    <w:rsid w:val="00C27090"/>
    <w:rsid w:val="00C2728B"/>
    <w:rsid w:val="00C27D5A"/>
    <w:rsid w:val="00C303D1"/>
    <w:rsid w:val="00C30597"/>
    <w:rsid w:val="00C30664"/>
    <w:rsid w:val="00C3087A"/>
    <w:rsid w:val="00C30A02"/>
    <w:rsid w:val="00C31D5C"/>
    <w:rsid w:val="00C31D85"/>
    <w:rsid w:val="00C323C2"/>
    <w:rsid w:val="00C323D2"/>
    <w:rsid w:val="00C3297A"/>
    <w:rsid w:val="00C32AAB"/>
    <w:rsid w:val="00C333C1"/>
    <w:rsid w:val="00C33A49"/>
    <w:rsid w:val="00C34D20"/>
    <w:rsid w:val="00C34DEC"/>
    <w:rsid w:val="00C3542C"/>
    <w:rsid w:val="00C358D9"/>
    <w:rsid w:val="00C35E73"/>
    <w:rsid w:val="00C362A5"/>
    <w:rsid w:val="00C36879"/>
    <w:rsid w:val="00C369ED"/>
    <w:rsid w:val="00C36E01"/>
    <w:rsid w:val="00C36E82"/>
    <w:rsid w:val="00C37D9E"/>
    <w:rsid w:val="00C37F4B"/>
    <w:rsid w:val="00C407C7"/>
    <w:rsid w:val="00C40F6A"/>
    <w:rsid w:val="00C41465"/>
    <w:rsid w:val="00C4196A"/>
    <w:rsid w:val="00C41C6E"/>
    <w:rsid w:val="00C4232C"/>
    <w:rsid w:val="00C42917"/>
    <w:rsid w:val="00C4373F"/>
    <w:rsid w:val="00C43E1A"/>
    <w:rsid w:val="00C44815"/>
    <w:rsid w:val="00C449CA"/>
    <w:rsid w:val="00C44AA4"/>
    <w:rsid w:val="00C44D9F"/>
    <w:rsid w:val="00C44FC3"/>
    <w:rsid w:val="00C452C7"/>
    <w:rsid w:val="00C453E3"/>
    <w:rsid w:val="00C453F0"/>
    <w:rsid w:val="00C46179"/>
    <w:rsid w:val="00C46773"/>
    <w:rsid w:val="00C46896"/>
    <w:rsid w:val="00C469DB"/>
    <w:rsid w:val="00C47255"/>
    <w:rsid w:val="00C478FD"/>
    <w:rsid w:val="00C50F21"/>
    <w:rsid w:val="00C5198A"/>
    <w:rsid w:val="00C52340"/>
    <w:rsid w:val="00C52E56"/>
    <w:rsid w:val="00C53381"/>
    <w:rsid w:val="00C54B21"/>
    <w:rsid w:val="00C55293"/>
    <w:rsid w:val="00C55302"/>
    <w:rsid w:val="00C55664"/>
    <w:rsid w:val="00C558D5"/>
    <w:rsid w:val="00C55BB0"/>
    <w:rsid w:val="00C55DC7"/>
    <w:rsid w:val="00C56497"/>
    <w:rsid w:val="00C56744"/>
    <w:rsid w:val="00C567CA"/>
    <w:rsid w:val="00C56954"/>
    <w:rsid w:val="00C56D02"/>
    <w:rsid w:val="00C5701C"/>
    <w:rsid w:val="00C571D5"/>
    <w:rsid w:val="00C575EC"/>
    <w:rsid w:val="00C57C9B"/>
    <w:rsid w:val="00C57DA2"/>
    <w:rsid w:val="00C57F37"/>
    <w:rsid w:val="00C60953"/>
    <w:rsid w:val="00C60BB8"/>
    <w:rsid w:val="00C60D66"/>
    <w:rsid w:val="00C61C05"/>
    <w:rsid w:val="00C62F07"/>
    <w:rsid w:val="00C633FF"/>
    <w:rsid w:val="00C6366F"/>
    <w:rsid w:val="00C6462A"/>
    <w:rsid w:val="00C647DE"/>
    <w:rsid w:val="00C64961"/>
    <w:rsid w:val="00C64AC8"/>
    <w:rsid w:val="00C64C9C"/>
    <w:rsid w:val="00C64FB0"/>
    <w:rsid w:val="00C655C6"/>
    <w:rsid w:val="00C656DF"/>
    <w:rsid w:val="00C6624E"/>
    <w:rsid w:val="00C66300"/>
    <w:rsid w:val="00C6662B"/>
    <w:rsid w:val="00C66BC1"/>
    <w:rsid w:val="00C67ABE"/>
    <w:rsid w:val="00C70960"/>
    <w:rsid w:val="00C70DAC"/>
    <w:rsid w:val="00C70FCD"/>
    <w:rsid w:val="00C71187"/>
    <w:rsid w:val="00C721F8"/>
    <w:rsid w:val="00C7277B"/>
    <w:rsid w:val="00C72859"/>
    <w:rsid w:val="00C72D6D"/>
    <w:rsid w:val="00C72F8E"/>
    <w:rsid w:val="00C731E3"/>
    <w:rsid w:val="00C738CE"/>
    <w:rsid w:val="00C73958"/>
    <w:rsid w:val="00C74405"/>
    <w:rsid w:val="00C746B3"/>
    <w:rsid w:val="00C7582E"/>
    <w:rsid w:val="00C759E0"/>
    <w:rsid w:val="00C75A0C"/>
    <w:rsid w:val="00C7645D"/>
    <w:rsid w:val="00C764C7"/>
    <w:rsid w:val="00C76768"/>
    <w:rsid w:val="00C76FB0"/>
    <w:rsid w:val="00C801AE"/>
    <w:rsid w:val="00C80CBC"/>
    <w:rsid w:val="00C80DF9"/>
    <w:rsid w:val="00C81353"/>
    <w:rsid w:val="00C81460"/>
    <w:rsid w:val="00C81711"/>
    <w:rsid w:val="00C8189F"/>
    <w:rsid w:val="00C81F1A"/>
    <w:rsid w:val="00C82641"/>
    <w:rsid w:val="00C83C98"/>
    <w:rsid w:val="00C8432D"/>
    <w:rsid w:val="00C846CC"/>
    <w:rsid w:val="00C84F97"/>
    <w:rsid w:val="00C85032"/>
    <w:rsid w:val="00C85504"/>
    <w:rsid w:val="00C8580B"/>
    <w:rsid w:val="00C85B55"/>
    <w:rsid w:val="00C860B7"/>
    <w:rsid w:val="00C8783C"/>
    <w:rsid w:val="00C87B63"/>
    <w:rsid w:val="00C87D8B"/>
    <w:rsid w:val="00C906E1"/>
    <w:rsid w:val="00C9209F"/>
    <w:rsid w:val="00C92EC4"/>
    <w:rsid w:val="00C93426"/>
    <w:rsid w:val="00C93518"/>
    <w:rsid w:val="00C936D5"/>
    <w:rsid w:val="00C93E2D"/>
    <w:rsid w:val="00C943E7"/>
    <w:rsid w:val="00C9499C"/>
    <w:rsid w:val="00C94BCD"/>
    <w:rsid w:val="00C94DF8"/>
    <w:rsid w:val="00C9537C"/>
    <w:rsid w:val="00C96326"/>
    <w:rsid w:val="00C975D5"/>
    <w:rsid w:val="00C9763F"/>
    <w:rsid w:val="00CA006D"/>
    <w:rsid w:val="00CA0FF1"/>
    <w:rsid w:val="00CA14DB"/>
    <w:rsid w:val="00CA1549"/>
    <w:rsid w:val="00CA2D75"/>
    <w:rsid w:val="00CA2E51"/>
    <w:rsid w:val="00CA33C6"/>
    <w:rsid w:val="00CA38A7"/>
    <w:rsid w:val="00CA3E6C"/>
    <w:rsid w:val="00CA4603"/>
    <w:rsid w:val="00CA47A1"/>
    <w:rsid w:val="00CA4A12"/>
    <w:rsid w:val="00CA4B82"/>
    <w:rsid w:val="00CA4BD8"/>
    <w:rsid w:val="00CA533A"/>
    <w:rsid w:val="00CA5656"/>
    <w:rsid w:val="00CA56E6"/>
    <w:rsid w:val="00CA6B02"/>
    <w:rsid w:val="00CA6B67"/>
    <w:rsid w:val="00CA6B86"/>
    <w:rsid w:val="00CA6F38"/>
    <w:rsid w:val="00CA789A"/>
    <w:rsid w:val="00CA7CC3"/>
    <w:rsid w:val="00CB005B"/>
    <w:rsid w:val="00CB03B8"/>
    <w:rsid w:val="00CB0A71"/>
    <w:rsid w:val="00CB0CD4"/>
    <w:rsid w:val="00CB1A28"/>
    <w:rsid w:val="00CB2458"/>
    <w:rsid w:val="00CB25F0"/>
    <w:rsid w:val="00CB2848"/>
    <w:rsid w:val="00CB2A76"/>
    <w:rsid w:val="00CB34D5"/>
    <w:rsid w:val="00CB35EA"/>
    <w:rsid w:val="00CB383D"/>
    <w:rsid w:val="00CB3C7F"/>
    <w:rsid w:val="00CB4804"/>
    <w:rsid w:val="00CB4B26"/>
    <w:rsid w:val="00CB5404"/>
    <w:rsid w:val="00CB5B17"/>
    <w:rsid w:val="00CB5C1B"/>
    <w:rsid w:val="00CB6855"/>
    <w:rsid w:val="00CB7323"/>
    <w:rsid w:val="00CB7620"/>
    <w:rsid w:val="00CB7953"/>
    <w:rsid w:val="00CB7D18"/>
    <w:rsid w:val="00CC0355"/>
    <w:rsid w:val="00CC04A6"/>
    <w:rsid w:val="00CC0FD9"/>
    <w:rsid w:val="00CC23E6"/>
    <w:rsid w:val="00CC240D"/>
    <w:rsid w:val="00CC2537"/>
    <w:rsid w:val="00CC2A55"/>
    <w:rsid w:val="00CC31FF"/>
    <w:rsid w:val="00CC323E"/>
    <w:rsid w:val="00CC339C"/>
    <w:rsid w:val="00CC33C5"/>
    <w:rsid w:val="00CC3B3E"/>
    <w:rsid w:val="00CC3D2D"/>
    <w:rsid w:val="00CC49D9"/>
    <w:rsid w:val="00CC5219"/>
    <w:rsid w:val="00CC5789"/>
    <w:rsid w:val="00CC5BE4"/>
    <w:rsid w:val="00CC5D0F"/>
    <w:rsid w:val="00CC70A9"/>
    <w:rsid w:val="00CC7788"/>
    <w:rsid w:val="00CC7B63"/>
    <w:rsid w:val="00CC7DDD"/>
    <w:rsid w:val="00CC7DE6"/>
    <w:rsid w:val="00CD0488"/>
    <w:rsid w:val="00CD094A"/>
    <w:rsid w:val="00CD11B2"/>
    <w:rsid w:val="00CD1B2E"/>
    <w:rsid w:val="00CD1EFC"/>
    <w:rsid w:val="00CD2AE7"/>
    <w:rsid w:val="00CD2B40"/>
    <w:rsid w:val="00CD2C09"/>
    <w:rsid w:val="00CD3121"/>
    <w:rsid w:val="00CD3538"/>
    <w:rsid w:val="00CD3608"/>
    <w:rsid w:val="00CD42AC"/>
    <w:rsid w:val="00CD54A3"/>
    <w:rsid w:val="00CD58C3"/>
    <w:rsid w:val="00CD72C2"/>
    <w:rsid w:val="00CD76D8"/>
    <w:rsid w:val="00CD79DE"/>
    <w:rsid w:val="00CD7BB0"/>
    <w:rsid w:val="00CD7C00"/>
    <w:rsid w:val="00CD7C98"/>
    <w:rsid w:val="00CD7DE3"/>
    <w:rsid w:val="00CE009D"/>
    <w:rsid w:val="00CE0782"/>
    <w:rsid w:val="00CE0898"/>
    <w:rsid w:val="00CE0AEE"/>
    <w:rsid w:val="00CE0B7A"/>
    <w:rsid w:val="00CE0CDB"/>
    <w:rsid w:val="00CE1D76"/>
    <w:rsid w:val="00CE1E94"/>
    <w:rsid w:val="00CE213C"/>
    <w:rsid w:val="00CE2B61"/>
    <w:rsid w:val="00CE2F2F"/>
    <w:rsid w:val="00CE35C9"/>
    <w:rsid w:val="00CE3B42"/>
    <w:rsid w:val="00CE3F5F"/>
    <w:rsid w:val="00CE4A06"/>
    <w:rsid w:val="00CE4FD3"/>
    <w:rsid w:val="00CE5A18"/>
    <w:rsid w:val="00CE5EE3"/>
    <w:rsid w:val="00CE6600"/>
    <w:rsid w:val="00CE6D4C"/>
    <w:rsid w:val="00CE6FEE"/>
    <w:rsid w:val="00CE7249"/>
    <w:rsid w:val="00CE73E8"/>
    <w:rsid w:val="00CE7515"/>
    <w:rsid w:val="00CE7F06"/>
    <w:rsid w:val="00CE7F6D"/>
    <w:rsid w:val="00CE7F83"/>
    <w:rsid w:val="00CF0513"/>
    <w:rsid w:val="00CF0E12"/>
    <w:rsid w:val="00CF143C"/>
    <w:rsid w:val="00CF17E3"/>
    <w:rsid w:val="00CF1A8E"/>
    <w:rsid w:val="00CF202B"/>
    <w:rsid w:val="00CF20B4"/>
    <w:rsid w:val="00CF218E"/>
    <w:rsid w:val="00CF23ED"/>
    <w:rsid w:val="00CF244B"/>
    <w:rsid w:val="00CF2953"/>
    <w:rsid w:val="00CF29A6"/>
    <w:rsid w:val="00CF2BFE"/>
    <w:rsid w:val="00CF2E75"/>
    <w:rsid w:val="00CF3119"/>
    <w:rsid w:val="00CF3734"/>
    <w:rsid w:val="00CF39AD"/>
    <w:rsid w:val="00CF3BC1"/>
    <w:rsid w:val="00CF44CC"/>
    <w:rsid w:val="00CF4B21"/>
    <w:rsid w:val="00CF4ED0"/>
    <w:rsid w:val="00CF567F"/>
    <w:rsid w:val="00CF599B"/>
    <w:rsid w:val="00CF5AD4"/>
    <w:rsid w:val="00CF6351"/>
    <w:rsid w:val="00CF6BE3"/>
    <w:rsid w:val="00CF6CEC"/>
    <w:rsid w:val="00CF743E"/>
    <w:rsid w:val="00CF786E"/>
    <w:rsid w:val="00D00EDE"/>
    <w:rsid w:val="00D00EF9"/>
    <w:rsid w:val="00D0159F"/>
    <w:rsid w:val="00D01C0B"/>
    <w:rsid w:val="00D02618"/>
    <w:rsid w:val="00D02787"/>
    <w:rsid w:val="00D02900"/>
    <w:rsid w:val="00D02FD9"/>
    <w:rsid w:val="00D02FE3"/>
    <w:rsid w:val="00D03114"/>
    <w:rsid w:val="00D03FDA"/>
    <w:rsid w:val="00D046C1"/>
    <w:rsid w:val="00D0520E"/>
    <w:rsid w:val="00D05C50"/>
    <w:rsid w:val="00D06B3E"/>
    <w:rsid w:val="00D07305"/>
    <w:rsid w:val="00D073CB"/>
    <w:rsid w:val="00D07B43"/>
    <w:rsid w:val="00D101B5"/>
    <w:rsid w:val="00D103C2"/>
    <w:rsid w:val="00D104F9"/>
    <w:rsid w:val="00D10DFD"/>
    <w:rsid w:val="00D1118A"/>
    <w:rsid w:val="00D114F8"/>
    <w:rsid w:val="00D119AA"/>
    <w:rsid w:val="00D11D0F"/>
    <w:rsid w:val="00D11D49"/>
    <w:rsid w:val="00D11ED8"/>
    <w:rsid w:val="00D1217A"/>
    <w:rsid w:val="00D124AD"/>
    <w:rsid w:val="00D12635"/>
    <w:rsid w:val="00D128BD"/>
    <w:rsid w:val="00D138B1"/>
    <w:rsid w:val="00D13C3C"/>
    <w:rsid w:val="00D142EA"/>
    <w:rsid w:val="00D15151"/>
    <w:rsid w:val="00D151B5"/>
    <w:rsid w:val="00D15F8F"/>
    <w:rsid w:val="00D16437"/>
    <w:rsid w:val="00D16F08"/>
    <w:rsid w:val="00D17CB5"/>
    <w:rsid w:val="00D2005F"/>
    <w:rsid w:val="00D20A0A"/>
    <w:rsid w:val="00D20D0A"/>
    <w:rsid w:val="00D2109E"/>
    <w:rsid w:val="00D213C7"/>
    <w:rsid w:val="00D214B6"/>
    <w:rsid w:val="00D21A91"/>
    <w:rsid w:val="00D21ED1"/>
    <w:rsid w:val="00D22128"/>
    <w:rsid w:val="00D22386"/>
    <w:rsid w:val="00D22E97"/>
    <w:rsid w:val="00D23722"/>
    <w:rsid w:val="00D23A54"/>
    <w:rsid w:val="00D23CE7"/>
    <w:rsid w:val="00D248A5"/>
    <w:rsid w:val="00D24CFA"/>
    <w:rsid w:val="00D24F8F"/>
    <w:rsid w:val="00D259F6"/>
    <w:rsid w:val="00D25FEB"/>
    <w:rsid w:val="00D2699D"/>
    <w:rsid w:val="00D26FCB"/>
    <w:rsid w:val="00D27104"/>
    <w:rsid w:val="00D2731B"/>
    <w:rsid w:val="00D2738F"/>
    <w:rsid w:val="00D27745"/>
    <w:rsid w:val="00D30D90"/>
    <w:rsid w:val="00D3142D"/>
    <w:rsid w:val="00D31680"/>
    <w:rsid w:val="00D31B56"/>
    <w:rsid w:val="00D32349"/>
    <w:rsid w:val="00D33459"/>
    <w:rsid w:val="00D33E74"/>
    <w:rsid w:val="00D3457F"/>
    <w:rsid w:val="00D34697"/>
    <w:rsid w:val="00D34700"/>
    <w:rsid w:val="00D35BC9"/>
    <w:rsid w:val="00D360AD"/>
    <w:rsid w:val="00D3634C"/>
    <w:rsid w:val="00D363D2"/>
    <w:rsid w:val="00D363E9"/>
    <w:rsid w:val="00D36C21"/>
    <w:rsid w:val="00D37991"/>
    <w:rsid w:val="00D37E3D"/>
    <w:rsid w:val="00D40E18"/>
    <w:rsid w:val="00D4127C"/>
    <w:rsid w:val="00D41C0B"/>
    <w:rsid w:val="00D4251E"/>
    <w:rsid w:val="00D42CA1"/>
    <w:rsid w:val="00D42D4E"/>
    <w:rsid w:val="00D435BA"/>
    <w:rsid w:val="00D43BA9"/>
    <w:rsid w:val="00D43F45"/>
    <w:rsid w:val="00D44D8E"/>
    <w:rsid w:val="00D45358"/>
    <w:rsid w:val="00D454C5"/>
    <w:rsid w:val="00D4585C"/>
    <w:rsid w:val="00D459CF"/>
    <w:rsid w:val="00D464FA"/>
    <w:rsid w:val="00D466CF"/>
    <w:rsid w:val="00D46905"/>
    <w:rsid w:val="00D46D54"/>
    <w:rsid w:val="00D478B4"/>
    <w:rsid w:val="00D504B5"/>
    <w:rsid w:val="00D50B08"/>
    <w:rsid w:val="00D50D16"/>
    <w:rsid w:val="00D50FA6"/>
    <w:rsid w:val="00D51128"/>
    <w:rsid w:val="00D51A3B"/>
    <w:rsid w:val="00D51B06"/>
    <w:rsid w:val="00D51DEE"/>
    <w:rsid w:val="00D520E3"/>
    <w:rsid w:val="00D52380"/>
    <w:rsid w:val="00D52A6C"/>
    <w:rsid w:val="00D53146"/>
    <w:rsid w:val="00D53644"/>
    <w:rsid w:val="00D53A81"/>
    <w:rsid w:val="00D542AB"/>
    <w:rsid w:val="00D54DE5"/>
    <w:rsid w:val="00D55510"/>
    <w:rsid w:val="00D55ACE"/>
    <w:rsid w:val="00D560A4"/>
    <w:rsid w:val="00D560DD"/>
    <w:rsid w:val="00D56E52"/>
    <w:rsid w:val="00D578AF"/>
    <w:rsid w:val="00D57DB0"/>
    <w:rsid w:val="00D57FB8"/>
    <w:rsid w:val="00D603B8"/>
    <w:rsid w:val="00D61E11"/>
    <w:rsid w:val="00D61E5E"/>
    <w:rsid w:val="00D61E61"/>
    <w:rsid w:val="00D6221C"/>
    <w:rsid w:val="00D628FC"/>
    <w:rsid w:val="00D6339E"/>
    <w:rsid w:val="00D63A12"/>
    <w:rsid w:val="00D63C4C"/>
    <w:rsid w:val="00D6441F"/>
    <w:rsid w:val="00D64510"/>
    <w:rsid w:val="00D64787"/>
    <w:rsid w:val="00D64C49"/>
    <w:rsid w:val="00D64FFD"/>
    <w:rsid w:val="00D65BC3"/>
    <w:rsid w:val="00D6648C"/>
    <w:rsid w:val="00D6703A"/>
    <w:rsid w:val="00D67678"/>
    <w:rsid w:val="00D677D3"/>
    <w:rsid w:val="00D678B4"/>
    <w:rsid w:val="00D70975"/>
    <w:rsid w:val="00D70E59"/>
    <w:rsid w:val="00D7100D"/>
    <w:rsid w:val="00D7208B"/>
    <w:rsid w:val="00D726A6"/>
    <w:rsid w:val="00D73142"/>
    <w:rsid w:val="00D73268"/>
    <w:rsid w:val="00D7386C"/>
    <w:rsid w:val="00D7409A"/>
    <w:rsid w:val="00D745C1"/>
    <w:rsid w:val="00D74C98"/>
    <w:rsid w:val="00D75C4E"/>
    <w:rsid w:val="00D760DC"/>
    <w:rsid w:val="00D760EC"/>
    <w:rsid w:val="00D76810"/>
    <w:rsid w:val="00D77315"/>
    <w:rsid w:val="00D7731C"/>
    <w:rsid w:val="00D776BE"/>
    <w:rsid w:val="00D77A3D"/>
    <w:rsid w:val="00D80281"/>
    <w:rsid w:val="00D8033D"/>
    <w:rsid w:val="00D804DC"/>
    <w:rsid w:val="00D80BBC"/>
    <w:rsid w:val="00D812C1"/>
    <w:rsid w:val="00D8156B"/>
    <w:rsid w:val="00D818DB"/>
    <w:rsid w:val="00D81C45"/>
    <w:rsid w:val="00D81C87"/>
    <w:rsid w:val="00D820AF"/>
    <w:rsid w:val="00D82653"/>
    <w:rsid w:val="00D82BEB"/>
    <w:rsid w:val="00D82F02"/>
    <w:rsid w:val="00D83412"/>
    <w:rsid w:val="00D8347B"/>
    <w:rsid w:val="00D83789"/>
    <w:rsid w:val="00D83C20"/>
    <w:rsid w:val="00D83DD5"/>
    <w:rsid w:val="00D85484"/>
    <w:rsid w:val="00D8613D"/>
    <w:rsid w:val="00D861AF"/>
    <w:rsid w:val="00D86D10"/>
    <w:rsid w:val="00D86F40"/>
    <w:rsid w:val="00D87556"/>
    <w:rsid w:val="00D87E02"/>
    <w:rsid w:val="00D87EEC"/>
    <w:rsid w:val="00D90591"/>
    <w:rsid w:val="00D90C3E"/>
    <w:rsid w:val="00D90D95"/>
    <w:rsid w:val="00D90E55"/>
    <w:rsid w:val="00D91A5F"/>
    <w:rsid w:val="00D91F1D"/>
    <w:rsid w:val="00D922B7"/>
    <w:rsid w:val="00D92B65"/>
    <w:rsid w:val="00D93008"/>
    <w:rsid w:val="00D9302E"/>
    <w:rsid w:val="00D935FF"/>
    <w:rsid w:val="00D93B74"/>
    <w:rsid w:val="00D93CF4"/>
    <w:rsid w:val="00D93E6B"/>
    <w:rsid w:val="00D95542"/>
    <w:rsid w:val="00D95981"/>
    <w:rsid w:val="00D95C52"/>
    <w:rsid w:val="00D95EB6"/>
    <w:rsid w:val="00D96FBC"/>
    <w:rsid w:val="00D970A3"/>
    <w:rsid w:val="00D97BB1"/>
    <w:rsid w:val="00DA0E9F"/>
    <w:rsid w:val="00DA0F17"/>
    <w:rsid w:val="00DA171C"/>
    <w:rsid w:val="00DA1F7D"/>
    <w:rsid w:val="00DA2177"/>
    <w:rsid w:val="00DA219B"/>
    <w:rsid w:val="00DA2DD4"/>
    <w:rsid w:val="00DA33B2"/>
    <w:rsid w:val="00DA3654"/>
    <w:rsid w:val="00DA3C7E"/>
    <w:rsid w:val="00DA4A02"/>
    <w:rsid w:val="00DA60BB"/>
    <w:rsid w:val="00DA684B"/>
    <w:rsid w:val="00DA697D"/>
    <w:rsid w:val="00DA6CD9"/>
    <w:rsid w:val="00DA73E9"/>
    <w:rsid w:val="00DA7451"/>
    <w:rsid w:val="00DA7790"/>
    <w:rsid w:val="00DB0744"/>
    <w:rsid w:val="00DB12BB"/>
    <w:rsid w:val="00DB1BF3"/>
    <w:rsid w:val="00DB1CDF"/>
    <w:rsid w:val="00DB37B5"/>
    <w:rsid w:val="00DB406E"/>
    <w:rsid w:val="00DB42ED"/>
    <w:rsid w:val="00DB5BC6"/>
    <w:rsid w:val="00DB61DE"/>
    <w:rsid w:val="00DB62D9"/>
    <w:rsid w:val="00DB6D02"/>
    <w:rsid w:val="00DB6E8F"/>
    <w:rsid w:val="00DB6ED6"/>
    <w:rsid w:val="00DB7043"/>
    <w:rsid w:val="00DB7395"/>
    <w:rsid w:val="00DB78BA"/>
    <w:rsid w:val="00DB7EDC"/>
    <w:rsid w:val="00DC07F2"/>
    <w:rsid w:val="00DC0952"/>
    <w:rsid w:val="00DC14F4"/>
    <w:rsid w:val="00DC25D4"/>
    <w:rsid w:val="00DC2635"/>
    <w:rsid w:val="00DC2652"/>
    <w:rsid w:val="00DC2B5E"/>
    <w:rsid w:val="00DC2D90"/>
    <w:rsid w:val="00DC2DED"/>
    <w:rsid w:val="00DC3123"/>
    <w:rsid w:val="00DC3370"/>
    <w:rsid w:val="00DC3C8D"/>
    <w:rsid w:val="00DC3CDC"/>
    <w:rsid w:val="00DC3E4D"/>
    <w:rsid w:val="00DC4269"/>
    <w:rsid w:val="00DC514E"/>
    <w:rsid w:val="00DC53A3"/>
    <w:rsid w:val="00DC5549"/>
    <w:rsid w:val="00DC57BC"/>
    <w:rsid w:val="00DC590C"/>
    <w:rsid w:val="00DC5A0B"/>
    <w:rsid w:val="00DC5D69"/>
    <w:rsid w:val="00DC6703"/>
    <w:rsid w:val="00DC7352"/>
    <w:rsid w:val="00DD026F"/>
    <w:rsid w:val="00DD028C"/>
    <w:rsid w:val="00DD05BA"/>
    <w:rsid w:val="00DD1778"/>
    <w:rsid w:val="00DD1C71"/>
    <w:rsid w:val="00DD1E68"/>
    <w:rsid w:val="00DD1FC3"/>
    <w:rsid w:val="00DD202B"/>
    <w:rsid w:val="00DD2566"/>
    <w:rsid w:val="00DD2AB6"/>
    <w:rsid w:val="00DD2D1D"/>
    <w:rsid w:val="00DD30A7"/>
    <w:rsid w:val="00DD3201"/>
    <w:rsid w:val="00DD3317"/>
    <w:rsid w:val="00DD364D"/>
    <w:rsid w:val="00DD4C26"/>
    <w:rsid w:val="00DD4D63"/>
    <w:rsid w:val="00DD56E3"/>
    <w:rsid w:val="00DD5985"/>
    <w:rsid w:val="00DD6A8E"/>
    <w:rsid w:val="00DD6DAD"/>
    <w:rsid w:val="00DD6EBA"/>
    <w:rsid w:val="00DD70AD"/>
    <w:rsid w:val="00DD7DCB"/>
    <w:rsid w:val="00DE0906"/>
    <w:rsid w:val="00DE18D5"/>
    <w:rsid w:val="00DE29FE"/>
    <w:rsid w:val="00DE2B9A"/>
    <w:rsid w:val="00DE30FC"/>
    <w:rsid w:val="00DE321C"/>
    <w:rsid w:val="00DE3BC3"/>
    <w:rsid w:val="00DE3FB9"/>
    <w:rsid w:val="00DE3FC5"/>
    <w:rsid w:val="00DE4E37"/>
    <w:rsid w:val="00DE5397"/>
    <w:rsid w:val="00DE594D"/>
    <w:rsid w:val="00DE667C"/>
    <w:rsid w:val="00DE66D6"/>
    <w:rsid w:val="00DE75BB"/>
    <w:rsid w:val="00DE76D1"/>
    <w:rsid w:val="00DE7AEA"/>
    <w:rsid w:val="00DE7E02"/>
    <w:rsid w:val="00DF0B4B"/>
    <w:rsid w:val="00DF1AD3"/>
    <w:rsid w:val="00DF1B6C"/>
    <w:rsid w:val="00DF1ECC"/>
    <w:rsid w:val="00DF1F57"/>
    <w:rsid w:val="00DF22A0"/>
    <w:rsid w:val="00DF23A4"/>
    <w:rsid w:val="00DF249C"/>
    <w:rsid w:val="00DF24E1"/>
    <w:rsid w:val="00DF31CF"/>
    <w:rsid w:val="00DF3470"/>
    <w:rsid w:val="00DF3A28"/>
    <w:rsid w:val="00DF423A"/>
    <w:rsid w:val="00DF462F"/>
    <w:rsid w:val="00DF4768"/>
    <w:rsid w:val="00DF486E"/>
    <w:rsid w:val="00DF486F"/>
    <w:rsid w:val="00DF588F"/>
    <w:rsid w:val="00DF65B8"/>
    <w:rsid w:val="00DF6A17"/>
    <w:rsid w:val="00DF6A36"/>
    <w:rsid w:val="00DF6C5D"/>
    <w:rsid w:val="00DF6CA5"/>
    <w:rsid w:val="00DF6E4D"/>
    <w:rsid w:val="00DF759F"/>
    <w:rsid w:val="00DF7B8F"/>
    <w:rsid w:val="00DF7E19"/>
    <w:rsid w:val="00E00137"/>
    <w:rsid w:val="00E00432"/>
    <w:rsid w:val="00E00E5B"/>
    <w:rsid w:val="00E0105C"/>
    <w:rsid w:val="00E0114C"/>
    <w:rsid w:val="00E01381"/>
    <w:rsid w:val="00E0158A"/>
    <w:rsid w:val="00E02D74"/>
    <w:rsid w:val="00E02F36"/>
    <w:rsid w:val="00E030B3"/>
    <w:rsid w:val="00E0335B"/>
    <w:rsid w:val="00E0348A"/>
    <w:rsid w:val="00E04F7C"/>
    <w:rsid w:val="00E064C1"/>
    <w:rsid w:val="00E06801"/>
    <w:rsid w:val="00E06C92"/>
    <w:rsid w:val="00E06D2C"/>
    <w:rsid w:val="00E06F75"/>
    <w:rsid w:val="00E0714A"/>
    <w:rsid w:val="00E072B0"/>
    <w:rsid w:val="00E100D0"/>
    <w:rsid w:val="00E106F8"/>
    <w:rsid w:val="00E11424"/>
    <w:rsid w:val="00E11AF9"/>
    <w:rsid w:val="00E121DA"/>
    <w:rsid w:val="00E1298E"/>
    <w:rsid w:val="00E136F7"/>
    <w:rsid w:val="00E13C25"/>
    <w:rsid w:val="00E13EC3"/>
    <w:rsid w:val="00E1402E"/>
    <w:rsid w:val="00E15057"/>
    <w:rsid w:val="00E1511A"/>
    <w:rsid w:val="00E153B1"/>
    <w:rsid w:val="00E15F8E"/>
    <w:rsid w:val="00E1617A"/>
    <w:rsid w:val="00E16EA1"/>
    <w:rsid w:val="00E17552"/>
    <w:rsid w:val="00E17662"/>
    <w:rsid w:val="00E17C21"/>
    <w:rsid w:val="00E17C9B"/>
    <w:rsid w:val="00E202AA"/>
    <w:rsid w:val="00E20772"/>
    <w:rsid w:val="00E20B74"/>
    <w:rsid w:val="00E221B3"/>
    <w:rsid w:val="00E223E9"/>
    <w:rsid w:val="00E22C6C"/>
    <w:rsid w:val="00E22E07"/>
    <w:rsid w:val="00E23415"/>
    <w:rsid w:val="00E23852"/>
    <w:rsid w:val="00E23883"/>
    <w:rsid w:val="00E24233"/>
    <w:rsid w:val="00E243D7"/>
    <w:rsid w:val="00E24874"/>
    <w:rsid w:val="00E25063"/>
    <w:rsid w:val="00E254E5"/>
    <w:rsid w:val="00E2553A"/>
    <w:rsid w:val="00E259EB"/>
    <w:rsid w:val="00E25C62"/>
    <w:rsid w:val="00E263E9"/>
    <w:rsid w:val="00E276D9"/>
    <w:rsid w:val="00E2770B"/>
    <w:rsid w:val="00E27AC8"/>
    <w:rsid w:val="00E27FE5"/>
    <w:rsid w:val="00E304FD"/>
    <w:rsid w:val="00E30805"/>
    <w:rsid w:val="00E3084F"/>
    <w:rsid w:val="00E3116F"/>
    <w:rsid w:val="00E3124A"/>
    <w:rsid w:val="00E315E8"/>
    <w:rsid w:val="00E32728"/>
    <w:rsid w:val="00E327F1"/>
    <w:rsid w:val="00E32D55"/>
    <w:rsid w:val="00E32FE7"/>
    <w:rsid w:val="00E3447F"/>
    <w:rsid w:val="00E34D4E"/>
    <w:rsid w:val="00E35674"/>
    <w:rsid w:val="00E35B10"/>
    <w:rsid w:val="00E366A9"/>
    <w:rsid w:val="00E36947"/>
    <w:rsid w:val="00E36BF1"/>
    <w:rsid w:val="00E37B98"/>
    <w:rsid w:val="00E37C80"/>
    <w:rsid w:val="00E400B6"/>
    <w:rsid w:val="00E402FF"/>
    <w:rsid w:val="00E410FC"/>
    <w:rsid w:val="00E41A5E"/>
    <w:rsid w:val="00E41E3D"/>
    <w:rsid w:val="00E420FF"/>
    <w:rsid w:val="00E422C8"/>
    <w:rsid w:val="00E42382"/>
    <w:rsid w:val="00E4239D"/>
    <w:rsid w:val="00E4252F"/>
    <w:rsid w:val="00E425F4"/>
    <w:rsid w:val="00E4273E"/>
    <w:rsid w:val="00E42AFE"/>
    <w:rsid w:val="00E42C26"/>
    <w:rsid w:val="00E431BB"/>
    <w:rsid w:val="00E432F6"/>
    <w:rsid w:val="00E437DC"/>
    <w:rsid w:val="00E43C41"/>
    <w:rsid w:val="00E440CC"/>
    <w:rsid w:val="00E444A0"/>
    <w:rsid w:val="00E4465B"/>
    <w:rsid w:val="00E448F7"/>
    <w:rsid w:val="00E44FD8"/>
    <w:rsid w:val="00E450F4"/>
    <w:rsid w:val="00E46363"/>
    <w:rsid w:val="00E465ED"/>
    <w:rsid w:val="00E466DC"/>
    <w:rsid w:val="00E469CC"/>
    <w:rsid w:val="00E4762E"/>
    <w:rsid w:val="00E503C0"/>
    <w:rsid w:val="00E50570"/>
    <w:rsid w:val="00E505EE"/>
    <w:rsid w:val="00E50720"/>
    <w:rsid w:val="00E51083"/>
    <w:rsid w:val="00E51C8F"/>
    <w:rsid w:val="00E5260C"/>
    <w:rsid w:val="00E53DA1"/>
    <w:rsid w:val="00E54437"/>
    <w:rsid w:val="00E547A7"/>
    <w:rsid w:val="00E548A1"/>
    <w:rsid w:val="00E55431"/>
    <w:rsid w:val="00E5633F"/>
    <w:rsid w:val="00E56364"/>
    <w:rsid w:val="00E5646E"/>
    <w:rsid w:val="00E566CD"/>
    <w:rsid w:val="00E56C8F"/>
    <w:rsid w:val="00E5719D"/>
    <w:rsid w:val="00E6060F"/>
    <w:rsid w:val="00E61050"/>
    <w:rsid w:val="00E610D5"/>
    <w:rsid w:val="00E613EA"/>
    <w:rsid w:val="00E61498"/>
    <w:rsid w:val="00E61A6C"/>
    <w:rsid w:val="00E61A79"/>
    <w:rsid w:val="00E62325"/>
    <w:rsid w:val="00E627E8"/>
    <w:rsid w:val="00E62A5B"/>
    <w:rsid w:val="00E62D82"/>
    <w:rsid w:val="00E62F4B"/>
    <w:rsid w:val="00E63DFA"/>
    <w:rsid w:val="00E63EE7"/>
    <w:rsid w:val="00E63F59"/>
    <w:rsid w:val="00E63FF8"/>
    <w:rsid w:val="00E6401E"/>
    <w:rsid w:val="00E65021"/>
    <w:rsid w:val="00E66198"/>
    <w:rsid w:val="00E66FB1"/>
    <w:rsid w:val="00E67020"/>
    <w:rsid w:val="00E670FA"/>
    <w:rsid w:val="00E678D2"/>
    <w:rsid w:val="00E679E7"/>
    <w:rsid w:val="00E70AA4"/>
    <w:rsid w:val="00E70C40"/>
    <w:rsid w:val="00E70D87"/>
    <w:rsid w:val="00E70F85"/>
    <w:rsid w:val="00E711AD"/>
    <w:rsid w:val="00E717DC"/>
    <w:rsid w:val="00E7187F"/>
    <w:rsid w:val="00E71ED6"/>
    <w:rsid w:val="00E72100"/>
    <w:rsid w:val="00E7243C"/>
    <w:rsid w:val="00E729DB"/>
    <w:rsid w:val="00E73069"/>
    <w:rsid w:val="00E73B11"/>
    <w:rsid w:val="00E742BB"/>
    <w:rsid w:val="00E7451E"/>
    <w:rsid w:val="00E7476B"/>
    <w:rsid w:val="00E74D12"/>
    <w:rsid w:val="00E74DDF"/>
    <w:rsid w:val="00E75013"/>
    <w:rsid w:val="00E75625"/>
    <w:rsid w:val="00E758F5"/>
    <w:rsid w:val="00E7590D"/>
    <w:rsid w:val="00E7624F"/>
    <w:rsid w:val="00E76532"/>
    <w:rsid w:val="00E76851"/>
    <w:rsid w:val="00E76E67"/>
    <w:rsid w:val="00E77484"/>
    <w:rsid w:val="00E779C0"/>
    <w:rsid w:val="00E77CEA"/>
    <w:rsid w:val="00E80640"/>
    <w:rsid w:val="00E81005"/>
    <w:rsid w:val="00E815B3"/>
    <w:rsid w:val="00E81857"/>
    <w:rsid w:val="00E81B49"/>
    <w:rsid w:val="00E81F8D"/>
    <w:rsid w:val="00E825BB"/>
    <w:rsid w:val="00E82A1C"/>
    <w:rsid w:val="00E832D5"/>
    <w:rsid w:val="00E832F4"/>
    <w:rsid w:val="00E834CC"/>
    <w:rsid w:val="00E83E8D"/>
    <w:rsid w:val="00E840A2"/>
    <w:rsid w:val="00E84653"/>
    <w:rsid w:val="00E84EBC"/>
    <w:rsid w:val="00E8510E"/>
    <w:rsid w:val="00E85114"/>
    <w:rsid w:val="00E85517"/>
    <w:rsid w:val="00E859EB"/>
    <w:rsid w:val="00E86283"/>
    <w:rsid w:val="00E867BD"/>
    <w:rsid w:val="00E867CE"/>
    <w:rsid w:val="00E870CF"/>
    <w:rsid w:val="00E903D4"/>
    <w:rsid w:val="00E90500"/>
    <w:rsid w:val="00E9101F"/>
    <w:rsid w:val="00E91101"/>
    <w:rsid w:val="00E91322"/>
    <w:rsid w:val="00E91CDE"/>
    <w:rsid w:val="00E93693"/>
    <w:rsid w:val="00E94188"/>
    <w:rsid w:val="00E945DB"/>
    <w:rsid w:val="00E94CF1"/>
    <w:rsid w:val="00E94F0F"/>
    <w:rsid w:val="00E95101"/>
    <w:rsid w:val="00E95D01"/>
    <w:rsid w:val="00E95FF4"/>
    <w:rsid w:val="00E973EB"/>
    <w:rsid w:val="00E97DDC"/>
    <w:rsid w:val="00EA0184"/>
    <w:rsid w:val="00EA01E0"/>
    <w:rsid w:val="00EA076A"/>
    <w:rsid w:val="00EA0E74"/>
    <w:rsid w:val="00EA10CC"/>
    <w:rsid w:val="00EA116B"/>
    <w:rsid w:val="00EA1529"/>
    <w:rsid w:val="00EA182A"/>
    <w:rsid w:val="00EA19EA"/>
    <w:rsid w:val="00EA292F"/>
    <w:rsid w:val="00EA2F88"/>
    <w:rsid w:val="00EA3402"/>
    <w:rsid w:val="00EA358E"/>
    <w:rsid w:val="00EA48FA"/>
    <w:rsid w:val="00EA4C7B"/>
    <w:rsid w:val="00EA5957"/>
    <w:rsid w:val="00EA5978"/>
    <w:rsid w:val="00EA5E9A"/>
    <w:rsid w:val="00EA628D"/>
    <w:rsid w:val="00EA64BA"/>
    <w:rsid w:val="00EA67F6"/>
    <w:rsid w:val="00EA6C32"/>
    <w:rsid w:val="00EA7AB4"/>
    <w:rsid w:val="00EA7F6A"/>
    <w:rsid w:val="00EB133F"/>
    <w:rsid w:val="00EB191D"/>
    <w:rsid w:val="00EB1B98"/>
    <w:rsid w:val="00EB2CAE"/>
    <w:rsid w:val="00EB3158"/>
    <w:rsid w:val="00EB338B"/>
    <w:rsid w:val="00EB45C4"/>
    <w:rsid w:val="00EB4711"/>
    <w:rsid w:val="00EB497C"/>
    <w:rsid w:val="00EB55BA"/>
    <w:rsid w:val="00EB575D"/>
    <w:rsid w:val="00EB5A93"/>
    <w:rsid w:val="00EB5FDC"/>
    <w:rsid w:val="00EB60C2"/>
    <w:rsid w:val="00EB61AE"/>
    <w:rsid w:val="00EB658D"/>
    <w:rsid w:val="00EB662F"/>
    <w:rsid w:val="00EB6AF4"/>
    <w:rsid w:val="00EB7605"/>
    <w:rsid w:val="00EB79F0"/>
    <w:rsid w:val="00EB7F3F"/>
    <w:rsid w:val="00EC00D8"/>
    <w:rsid w:val="00EC0127"/>
    <w:rsid w:val="00EC08F1"/>
    <w:rsid w:val="00EC0AC3"/>
    <w:rsid w:val="00EC0EF5"/>
    <w:rsid w:val="00EC1475"/>
    <w:rsid w:val="00EC1B91"/>
    <w:rsid w:val="00EC1FCD"/>
    <w:rsid w:val="00EC2246"/>
    <w:rsid w:val="00EC2522"/>
    <w:rsid w:val="00EC2543"/>
    <w:rsid w:val="00EC2931"/>
    <w:rsid w:val="00EC2CFF"/>
    <w:rsid w:val="00EC44E7"/>
    <w:rsid w:val="00EC4A65"/>
    <w:rsid w:val="00EC4C66"/>
    <w:rsid w:val="00EC4DEA"/>
    <w:rsid w:val="00EC5E88"/>
    <w:rsid w:val="00EC5EC5"/>
    <w:rsid w:val="00EC6166"/>
    <w:rsid w:val="00EC622A"/>
    <w:rsid w:val="00EC6805"/>
    <w:rsid w:val="00EC6843"/>
    <w:rsid w:val="00EC6DA9"/>
    <w:rsid w:val="00EC703E"/>
    <w:rsid w:val="00EC7B65"/>
    <w:rsid w:val="00EC7FDF"/>
    <w:rsid w:val="00ED03CF"/>
    <w:rsid w:val="00ED0557"/>
    <w:rsid w:val="00ED088B"/>
    <w:rsid w:val="00ED09C0"/>
    <w:rsid w:val="00ED0A9E"/>
    <w:rsid w:val="00ED0C01"/>
    <w:rsid w:val="00ED2010"/>
    <w:rsid w:val="00ED2021"/>
    <w:rsid w:val="00ED20B6"/>
    <w:rsid w:val="00ED3A3D"/>
    <w:rsid w:val="00ED3CE4"/>
    <w:rsid w:val="00ED41AB"/>
    <w:rsid w:val="00ED46D0"/>
    <w:rsid w:val="00ED47B1"/>
    <w:rsid w:val="00ED4E2D"/>
    <w:rsid w:val="00ED507B"/>
    <w:rsid w:val="00ED5A89"/>
    <w:rsid w:val="00ED5F1B"/>
    <w:rsid w:val="00ED6DC9"/>
    <w:rsid w:val="00ED715A"/>
    <w:rsid w:val="00EE0D42"/>
    <w:rsid w:val="00EE1881"/>
    <w:rsid w:val="00EE193D"/>
    <w:rsid w:val="00EE1EA4"/>
    <w:rsid w:val="00EE341A"/>
    <w:rsid w:val="00EE3E47"/>
    <w:rsid w:val="00EE48E4"/>
    <w:rsid w:val="00EE4C2F"/>
    <w:rsid w:val="00EE522A"/>
    <w:rsid w:val="00EE5458"/>
    <w:rsid w:val="00EE5517"/>
    <w:rsid w:val="00EE55B7"/>
    <w:rsid w:val="00EE56F9"/>
    <w:rsid w:val="00EE5A37"/>
    <w:rsid w:val="00EE6474"/>
    <w:rsid w:val="00EE6526"/>
    <w:rsid w:val="00EE6FA8"/>
    <w:rsid w:val="00EE70BC"/>
    <w:rsid w:val="00EE7352"/>
    <w:rsid w:val="00EE764E"/>
    <w:rsid w:val="00EF007F"/>
    <w:rsid w:val="00EF0788"/>
    <w:rsid w:val="00EF0889"/>
    <w:rsid w:val="00EF08D4"/>
    <w:rsid w:val="00EF0B94"/>
    <w:rsid w:val="00EF0E84"/>
    <w:rsid w:val="00EF1780"/>
    <w:rsid w:val="00EF1AC3"/>
    <w:rsid w:val="00EF1F87"/>
    <w:rsid w:val="00EF202D"/>
    <w:rsid w:val="00EF29DE"/>
    <w:rsid w:val="00EF2AEB"/>
    <w:rsid w:val="00EF2E7B"/>
    <w:rsid w:val="00EF32C9"/>
    <w:rsid w:val="00EF39A6"/>
    <w:rsid w:val="00EF3E29"/>
    <w:rsid w:val="00EF3F7B"/>
    <w:rsid w:val="00EF3FCF"/>
    <w:rsid w:val="00EF4E85"/>
    <w:rsid w:val="00EF50C7"/>
    <w:rsid w:val="00EF5147"/>
    <w:rsid w:val="00EF52A4"/>
    <w:rsid w:val="00EF55D3"/>
    <w:rsid w:val="00EF56FA"/>
    <w:rsid w:val="00EF5B8C"/>
    <w:rsid w:val="00EF5F70"/>
    <w:rsid w:val="00EF60EE"/>
    <w:rsid w:val="00EF6201"/>
    <w:rsid w:val="00EF6F75"/>
    <w:rsid w:val="00EF742E"/>
    <w:rsid w:val="00F0065C"/>
    <w:rsid w:val="00F00A74"/>
    <w:rsid w:val="00F00AAB"/>
    <w:rsid w:val="00F00B9A"/>
    <w:rsid w:val="00F01732"/>
    <w:rsid w:val="00F0210B"/>
    <w:rsid w:val="00F0222F"/>
    <w:rsid w:val="00F02570"/>
    <w:rsid w:val="00F0312A"/>
    <w:rsid w:val="00F03A32"/>
    <w:rsid w:val="00F03E4B"/>
    <w:rsid w:val="00F040F2"/>
    <w:rsid w:val="00F044AA"/>
    <w:rsid w:val="00F04A25"/>
    <w:rsid w:val="00F04A94"/>
    <w:rsid w:val="00F04AD5"/>
    <w:rsid w:val="00F063A5"/>
    <w:rsid w:val="00F068BD"/>
    <w:rsid w:val="00F10F6F"/>
    <w:rsid w:val="00F1103D"/>
    <w:rsid w:val="00F11727"/>
    <w:rsid w:val="00F117D7"/>
    <w:rsid w:val="00F12F53"/>
    <w:rsid w:val="00F133D3"/>
    <w:rsid w:val="00F13BDA"/>
    <w:rsid w:val="00F13E58"/>
    <w:rsid w:val="00F13E69"/>
    <w:rsid w:val="00F13F23"/>
    <w:rsid w:val="00F14213"/>
    <w:rsid w:val="00F1432A"/>
    <w:rsid w:val="00F14896"/>
    <w:rsid w:val="00F17172"/>
    <w:rsid w:val="00F1725A"/>
    <w:rsid w:val="00F172E2"/>
    <w:rsid w:val="00F1750C"/>
    <w:rsid w:val="00F1766A"/>
    <w:rsid w:val="00F176F9"/>
    <w:rsid w:val="00F17E4F"/>
    <w:rsid w:val="00F17EFF"/>
    <w:rsid w:val="00F201E2"/>
    <w:rsid w:val="00F21813"/>
    <w:rsid w:val="00F21D78"/>
    <w:rsid w:val="00F21DE7"/>
    <w:rsid w:val="00F2203D"/>
    <w:rsid w:val="00F2293D"/>
    <w:rsid w:val="00F22C86"/>
    <w:rsid w:val="00F235B6"/>
    <w:rsid w:val="00F23764"/>
    <w:rsid w:val="00F23F68"/>
    <w:rsid w:val="00F23F6F"/>
    <w:rsid w:val="00F2475E"/>
    <w:rsid w:val="00F24A61"/>
    <w:rsid w:val="00F2532F"/>
    <w:rsid w:val="00F26FDE"/>
    <w:rsid w:val="00F27F16"/>
    <w:rsid w:val="00F27F20"/>
    <w:rsid w:val="00F30AB6"/>
    <w:rsid w:val="00F31345"/>
    <w:rsid w:val="00F31F49"/>
    <w:rsid w:val="00F32886"/>
    <w:rsid w:val="00F32B88"/>
    <w:rsid w:val="00F32C45"/>
    <w:rsid w:val="00F32C74"/>
    <w:rsid w:val="00F32CA2"/>
    <w:rsid w:val="00F3305B"/>
    <w:rsid w:val="00F34232"/>
    <w:rsid w:val="00F35179"/>
    <w:rsid w:val="00F358ED"/>
    <w:rsid w:val="00F35F3D"/>
    <w:rsid w:val="00F35F76"/>
    <w:rsid w:val="00F3633A"/>
    <w:rsid w:val="00F36938"/>
    <w:rsid w:val="00F36DEA"/>
    <w:rsid w:val="00F377AC"/>
    <w:rsid w:val="00F37CCD"/>
    <w:rsid w:val="00F37E35"/>
    <w:rsid w:val="00F407BE"/>
    <w:rsid w:val="00F40870"/>
    <w:rsid w:val="00F409CA"/>
    <w:rsid w:val="00F41207"/>
    <w:rsid w:val="00F41668"/>
    <w:rsid w:val="00F41FC2"/>
    <w:rsid w:val="00F424C9"/>
    <w:rsid w:val="00F425D2"/>
    <w:rsid w:val="00F43320"/>
    <w:rsid w:val="00F4356D"/>
    <w:rsid w:val="00F44481"/>
    <w:rsid w:val="00F45600"/>
    <w:rsid w:val="00F45906"/>
    <w:rsid w:val="00F46645"/>
    <w:rsid w:val="00F468CB"/>
    <w:rsid w:val="00F46A64"/>
    <w:rsid w:val="00F46B12"/>
    <w:rsid w:val="00F474AA"/>
    <w:rsid w:val="00F47766"/>
    <w:rsid w:val="00F478A6"/>
    <w:rsid w:val="00F505CF"/>
    <w:rsid w:val="00F513C5"/>
    <w:rsid w:val="00F518EF"/>
    <w:rsid w:val="00F51B76"/>
    <w:rsid w:val="00F51DC4"/>
    <w:rsid w:val="00F51E32"/>
    <w:rsid w:val="00F5297A"/>
    <w:rsid w:val="00F529E7"/>
    <w:rsid w:val="00F52A9E"/>
    <w:rsid w:val="00F53609"/>
    <w:rsid w:val="00F53EAC"/>
    <w:rsid w:val="00F53EDD"/>
    <w:rsid w:val="00F54405"/>
    <w:rsid w:val="00F54A01"/>
    <w:rsid w:val="00F55654"/>
    <w:rsid w:val="00F55A1B"/>
    <w:rsid w:val="00F570ED"/>
    <w:rsid w:val="00F574E7"/>
    <w:rsid w:val="00F576FC"/>
    <w:rsid w:val="00F57B02"/>
    <w:rsid w:val="00F60155"/>
    <w:rsid w:val="00F60DBD"/>
    <w:rsid w:val="00F61015"/>
    <w:rsid w:val="00F6126F"/>
    <w:rsid w:val="00F613F0"/>
    <w:rsid w:val="00F61802"/>
    <w:rsid w:val="00F6193F"/>
    <w:rsid w:val="00F62364"/>
    <w:rsid w:val="00F6239A"/>
    <w:rsid w:val="00F625B8"/>
    <w:rsid w:val="00F63818"/>
    <w:rsid w:val="00F63E3A"/>
    <w:rsid w:val="00F641E8"/>
    <w:rsid w:val="00F64A1C"/>
    <w:rsid w:val="00F64C05"/>
    <w:rsid w:val="00F64DFC"/>
    <w:rsid w:val="00F64DFD"/>
    <w:rsid w:val="00F65CF7"/>
    <w:rsid w:val="00F66A9D"/>
    <w:rsid w:val="00F67DF3"/>
    <w:rsid w:val="00F67EE5"/>
    <w:rsid w:val="00F70528"/>
    <w:rsid w:val="00F71327"/>
    <w:rsid w:val="00F71422"/>
    <w:rsid w:val="00F718E9"/>
    <w:rsid w:val="00F72579"/>
    <w:rsid w:val="00F73074"/>
    <w:rsid w:val="00F73122"/>
    <w:rsid w:val="00F733B5"/>
    <w:rsid w:val="00F73ADC"/>
    <w:rsid w:val="00F73B37"/>
    <w:rsid w:val="00F73CC2"/>
    <w:rsid w:val="00F740BD"/>
    <w:rsid w:val="00F74830"/>
    <w:rsid w:val="00F754F0"/>
    <w:rsid w:val="00F757C9"/>
    <w:rsid w:val="00F764C8"/>
    <w:rsid w:val="00F7755F"/>
    <w:rsid w:val="00F776BD"/>
    <w:rsid w:val="00F77D03"/>
    <w:rsid w:val="00F8028A"/>
    <w:rsid w:val="00F8084D"/>
    <w:rsid w:val="00F809BC"/>
    <w:rsid w:val="00F80A49"/>
    <w:rsid w:val="00F80CE8"/>
    <w:rsid w:val="00F81DDB"/>
    <w:rsid w:val="00F822B9"/>
    <w:rsid w:val="00F823FA"/>
    <w:rsid w:val="00F82414"/>
    <w:rsid w:val="00F825A3"/>
    <w:rsid w:val="00F82C84"/>
    <w:rsid w:val="00F8316B"/>
    <w:rsid w:val="00F8317D"/>
    <w:rsid w:val="00F837AF"/>
    <w:rsid w:val="00F83A08"/>
    <w:rsid w:val="00F84F29"/>
    <w:rsid w:val="00F84FB6"/>
    <w:rsid w:val="00F853A8"/>
    <w:rsid w:val="00F85AEF"/>
    <w:rsid w:val="00F862C8"/>
    <w:rsid w:val="00F86AEB"/>
    <w:rsid w:val="00F86DD1"/>
    <w:rsid w:val="00F87354"/>
    <w:rsid w:val="00F873AB"/>
    <w:rsid w:val="00F8768F"/>
    <w:rsid w:val="00F9002E"/>
    <w:rsid w:val="00F90C99"/>
    <w:rsid w:val="00F90D60"/>
    <w:rsid w:val="00F915FA"/>
    <w:rsid w:val="00F9161A"/>
    <w:rsid w:val="00F9179A"/>
    <w:rsid w:val="00F918EB"/>
    <w:rsid w:val="00F9220F"/>
    <w:rsid w:val="00F92297"/>
    <w:rsid w:val="00F92464"/>
    <w:rsid w:val="00F9246F"/>
    <w:rsid w:val="00F933D4"/>
    <w:rsid w:val="00F93551"/>
    <w:rsid w:val="00F93B54"/>
    <w:rsid w:val="00F93F12"/>
    <w:rsid w:val="00F94126"/>
    <w:rsid w:val="00F9428A"/>
    <w:rsid w:val="00F94BD4"/>
    <w:rsid w:val="00F94FF5"/>
    <w:rsid w:val="00F95854"/>
    <w:rsid w:val="00F966C9"/>
    <w:rsid w:val="00F969E2"/>
    <w:rsid w:val="00F97B43"/>
    <w:rsid w:val="00FA05DF"/>
    <w:rsid w:val="00FA16B3"/>
    <w:rsid w:val="00FA1A50"/>
    <w:rsid w:val="00FA1FB8"/>
    <w:rsid w:val="00FA2725"/>
    <w:rsid w:val="00FA285A"/>
    <w:rsid w:val="00FA2995"/>
    <w:rsid w:val="00FA2B3B"/>
    <w:rsid w:val="00FA2D08"/>
    <w:rsid w:val="00FA3442"/>
    <w:rsid w:val="00FA388F"/>
    <w:rsid w:val="00FA39D9"/>
    <w:rsid w:val="00FA4638"/>
    <w:rsid w:val="00FA47CA"/>
    <w:rsid w:val="00FA5A89"/>
    <w:rsid w:val="00FA65D0"/>
    <w:rsid w:val="00FA69EE"/>
    <w:rsid w:val="00FA7232"/>
    <w:rsid w:val="00FA7A16"/>
    <w:rsid w:val="00FA7F1E"/>
    <w:rsid w:val="00FB0157"/>
    <w:rsid w:val="00FB017D"/>
    <w:rsid w:val="00FB09DB"/>
    <w:rsid w:val="00FB0E2E"/>
    <w:rsid w:val="00FB102C"/>
    <w:rsid w:val="00FB108F"/>
    <w:rsid w:val="00FB11E9"/>
    <w:rsid w:val="00FB1427"/>
    <w:rsid w:val="00FB147D"/>
    <w:rsid w:val="00FB1755"/>
    <w:rsid w:val="00FB1A16"/>
    <w:rsid w:val="00FB2151"/>
    <w:rsid w:val="00FB23A9"/>
    <w:rsid w:val="00FB250D"/>
    <w:rsid w:val="00FB2E47"/>
    <w:rsid w:val="00FB35C2"/>
    <w:rsid w:val="00FB36F9"/>
    <w:rsid w:val="00FB3B7E"/>
    <w:rsid w:val="00FB3B80"/>
    <w:rsid w:val="00FB4872"/>
    <w:rsid w:val="00FB4C59"/>
    <w:rsid w:val="00FB5194"/>
    <w:rsid w:val="00FB53C5"/>
    <w:rsid w:val="00FB58EA"/>
    <w:rsid w:val="00FB5DD2"/>
    <w:rsid w:val="00FB5DD3"/>
    <w:rsid w:val="00FB6496"/>
    <w:rsid w:val="00FB6568"/>
    <w:rsid w:val="00FB67A2"/>
    <w:rsid w:val="00FB67E7"/>
    <w:rsid w:val="00FB6DC1"/>
    <w:rsid w:val="00FB6FB0"/>
    <w:rsid w:val="00FB70E1"/>
    <w:rsid w:val="00FB7848"/>
    <w:rsid w:val="00FB7A1C"/>
    <w:rsid w:val="00FB7D26"/>
    <w:rsid w:val="00FC0CBD"/>
    <w:rsid w:val="00FC131E"/>
    <w:rsid w:val="00FC19D8"/>
    <w:rsid w:val="00FC219D"/>
    <w:rsid w:val="00FC2F95"/>
    <w:rsid w:val="00FC4495"/>
    <w:rsid w:val="00FC466D"/>
    <w:rsid w:val="00FC4D15"/>
    <w:rsid w:val="00FC4F4A"/>
    <w:rsid w:val="00FC542B"/>
    <w:rsid w:val="00FC63FC"/>
    <w:rsid w:val="00FC66AF"/>
    <w:rsid w:val="00FC714B"/>
    <w:rsid w:val="00FC7270"/>
    <w:rsid w:val="00FC73C9"/>
    <w:rsid w:val="00FC76A3"/>
    <w:rsid w:val="00FD0232"/>
    <w:rsid w:val="00FD0BEF"/>
    <w:rsid w:val="00FD2031"/>
    <w:rsid w:val="00FD221E"/>
    <w:rsid w:val="00FD223F"/>
    <w:rsid w:val="00FD22F3"/>
    <w:rsid w:val="00FD2EB2"/>
    <w:rsid w:val="00FD2EFB"/>
    <w:rsid w:val="00FD31F6"/>
    <w:rsid w:val="00FD32BA"/>
    <w:rsid w:val="00FD3406"/>
    <w:rsid w:val="00FD3D43"/>
    <w:rsid w:val="00FD4B39"/>
    <w:rsid w:val="00FD578D"/>
    <w:rsid w:val="00FD5B3C"/>
    <w:rsid w:val="00FD5B86"/>
    <w:rsid w:val="00FD60CF"/>
    <w:rsid w:val="00FD62B1"/>
    <w:rsid w:val="00FD65FE"/>
    <w:rsid w:val="00FD6A56"/>
    <w:rsid w:val="00FD6DEA"/>
    <w:rsid w:val="00FD6E38"/>
    <w:rsid w:val="00FD7136"/>
    <w:rsid w:val="00FD74E3"/>
    <w:rsid w:val="00FD778E"/>
    <w:rsid w:val="00FD7DF4"/>
    <w:rsid w:val="00FE0134"/>
    <w:rsid w:val="00FE03C2"/>
    <w:rsid w:val="00FE0516"/>
    <w:rsid w:val="00FE0E52"/>
    <w:rsid w:val="00FE0F00"/>
    <w:rsid w:val="00FE140B"/>
    <w:rsid w:val="00FE2131"/>
    <w:rsid w:val="00FE2752"/>
    <w:rsid w:val="00FE275F"/>
    <w:rsid w:val="00FE2DF3"/>
    <w:rsid w:val="00FE3C72"/>
    <w:rsid w:val="00FE3C76"/>
    <w:rsid w:val="00FE455D"/>
    <w:rsid w:val="00FE4633"/>
    <w:rsid w:val="00FE5C5B"/>
    <w:rsid w:val="00FE5FBC"/>
    <w:rsid w:val="00FE647D"/>
    <w:rsid w:val="00FE6487"/>
    <w:rsid w:val="00FE6FAB"/>
    <w:rsid w:val="00FE705F"/>
    <w:rsid w:val="00FE77FF"/>
    <w:rsid w:val="00FF07F6"/>
    <w:rsid w:val="00FF088A"/>
    <w:rsid w:val="00FF0B87"/>
    <w:rsid w:val="00FF0FFC"/>
    <w:rsid w:val="00FF1326"/>
    <w:rsid w:val="00FF1CB3"/>
    <w:rsid w:val="00FF218A"/>
    <w:rsid w:val="00FF2432"/>
    <w:rsid w:val="00FF278C"/>
    <w:rsid w:val="00FF29B1"/>
    <w:rsid w:val="00FF2C33"/>
    <w:rsid w:val="00FF308B"/>
    <w:rsid w:val="00FF315B"/>
    <w:rsid w:val="00FF3F64"/>
    <w:rsid w:val="00FF458E"/>
    <w:rsid w:val="00FF4904"/>
    <w:rsid w:val="00FF5E3E"/>
    <w:rsid w:val="00FF5EF0"/>
    <w:rsid w:val="00FF606D"/>
    <w:rsid w:val="00FF6301"/>
    <w:rsid w:val="00FF6865"/>
    <w:rsid w:val="00FF6A0A"/>
    <w:rsid w:val="02776EA4"/>
    <w:rsid w:val="051B106E"/>
    <w:rsid w:val="07EF56BA"/>
    <w:rsid w:val="0BB075FD"/>
    <w:rsid w:val="11955A2D"/>
    <w:rsid w:val="11F65E31"/>
    <w:rsid w:val="16886A96"/>
    <w:rsid w:val="1AA22FA1"/>
    <w:rsid w:val="2273719A"/>
    <w:rsid w:val="25FC4F68"/>
    <w:rsid w:val="2DF7F466"/>
    <w:rsid w:val="2F4131BE"/>
    <w:rsid w:val="30201025"/>
    <w:rsid w:val="31C761A0"/>
    <w:rsid w:val="31DD58A9"/>
    <w:rsid w:val="3314623D"/>
    <w:rsid w:val="34867CE6"/>
    <w:rsid w:val="34DB0C95"/>
    <w:rsid w:val="35FD2EBE"/>
    <w:rsid w:val="366B4E92"/>
    <w:rsid w:val="372BE0DD"/>
    <w:rsid w:val="3DCF41D4"/>
    <w:rsid w:val="3FF64AAB"/>
    <w:rsid w:val="463B47F1"/>
    <w:rsid w:val="46CF2596"/>
    <w:rsid w:val="49465201"/>
    <w:rsid w:val="4AFD7212"/>
    <w:rsid w:val="4CEA58D3"/>
    <w:rsid w:val="53173137"/>
    <w:rsid w:val="53412A9A"/>
    <w:rsid w:val="534F289E"/>
    <w:rsid w:val="545151A4"/>
    <w:rsid w:val="54AA6F8B"/>
    <w:rsid w:val="550B6FE9"/>
    <w:rsid w:val="576F6BB2"/>
    <w:rsid w:val="5D1F5031"/>
    <w:rsid w:val="5F3F55A8"/>
    <w:rsid w:val="60A24D99"/>
    <w:rsid w:val="60B06F65"/>
    <w:rsid w:val="62BBAB25"/>
    <w:rsid w:val="63950723"/>
    <w:rsid w:val="63DE96A6"/>
    <w:rsid w:val="645B5F9B"/>
    <w:rsid w:val="65743DF8"/>
    <w:rsid w:val="67095711"/>
    <w:rsid w:val="68EA3E01"/>
    <w:rsid w:val="6F7F1E85"/>
    <w:rsid w:val="719E12BF"/>
    <w:rsid w:val="727C4C20"/>
    <w:rsid w:val="74C54C05"/>
    <w:rsid w:val="75FFECCA"/>
    <w:rsid w:val="7677C11F"/>
    <w:rsid w:val="76CE3641"/>
    <w:rsid w:val="77FD094C"/>
    <w:rsid w:val="790E52A0"/>
    <w:rsid w:val="79BD36FD"/>
    <w:rsid w:val="7B737828"/>
    <w:rsid w:val="7BDB5FAC"/>
    <w:rsid w:val="7BFFF882"/>
    <w:rsid w:val="7C71994E"/>
    <w:rsid w:val="7C771CDE"/>
    <w:rsid w:val="7CB787CB"/>
    <w:rsid w:val="7D461EE6"/>
    <w:rsid w:val="7DFE2FAC"/>
    <w:rsid w:val="7DFFD292"/>
    <w:rsid w:val="7E5B1C31"/>
    <w:rsid w:val="7E632A65"/>
    <w:rsid w:val="7EC62E6C"/>
    <w:rsid w:val="7FDF4C93"/>
    <w:rsid w:val="7FDFF148"/>
    <w:rsid w:val="7FEB5693"/>
    <w:rsid w:val="7FF7E6B0"/>
    <w:rsid w:val="7FFE5DDC"/>
    <w:rsid w:val="AFDA9E40"/>
    <w:rsid w:val="B13C524D"/>
    <w:rsid w:val="B9CBBA8E"/>
    <w:rsid w:val="BB7D7312"/>
    <w:rsid w:val="BFFFA6F4"/>
    <w:rsid w:val="CB6F1B1F"/>
    <w:rsid w:val="D1E7DCBB"/>
    <w:rsid w:val="D3DF1CFD"/>
    <w:rsid w:val="DCD9E203"/>
    <w:rsid w:val="DEFFB048"/>
    <w:rsid w:val="DFEB9345"/>
    <w:rsid w:val="DFFB01B7"/>
    <w:rsid w:val="E3FE168C"/>
    <w:rsid w:val="EB7D4A5E"/>
    <w:rsid w:val="ECFB9EB5"/>
    <w:rsid w:val="ED3D224D"/>
    <w:rsid w:val="EEF5A21E"/>
    <w:rsid w:val="F5BD18D5"/>
    <w:rsid w:val="F7FD9C8B"/>
    <w:rsid w:val="FBBF2D72"/>
    <w:rsid w:val="FBDDEEBF"/>
    <w:rsid w:val="FC7E1842"/>
    <w:rsid w:val="FD8F31AA"/>
    <w:rsid w:val="FEB5D8FD"/>
    <w:rsid w:val="FEF5CC91"/>
    <w:rsid w:val="FF6332B1"/>
    <w:rsid w:val="FFBEF228"/>
    <w:rsid w:val="FFBF678E"/>
    <w:rsid w:val="FFDFE7C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0" w:semiHidden="0"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semiHidden="0" w:name="caption"/>
    <w:lsdException w:qFormat="1" w:uiPriority="99" w:semiHidden="0" w:name="table of figures"/>
    <w:lsdException w:uiPriority="99" w:name="envelope address"/>
    <w:lsdException w:uiPriority="99" w:name="envelope return"/>
    <w:lsdException w:qFormat="1" w:unhideWhenUsed="0" w:uiPriority="0" w:semiHidden="0" w:name="footnote reference"/>
    <w:lsdException w:qFormat="1" w:uiPriority="99"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qFormat="1"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45"/>
    <w:qFormat/>
    <w:uiPriority w:val="9"/>
    <w:pPr>
      <w:keepNext/>
      <w:keepLines/>
      <w:spacing w:before="120" w:after="600" w:line="312" w:lineRule="auto"/>
      <w:jc w:val="center"/>
      <w:outlineLvl w:val="0"/>
    </w:pPr>
    <w:rPr>
      <w:rFonts w:eastAsia="仿宋_GB2312"/>
      <w:b/>
      <w:bCs/>
      <w:kern w:val="44"/>
      <w:sz w:val="52"/>
      <w:szCs w:val="44"/>
    </w:rPr>
  </w:style>
  <w:style w:type="paragraph" w:styleId="5">
    <w:name w:val="heading 2"/>
    <w:basedOn w:val="1"/>
    <w:next w:val="1"/>
    <w:link w:val="46"/>
    <w:unhideWhenUsed/>
    <w:qFormat/>
    <w:uiPriority w:val="9"/>
    <w:pPr>
      <w:keepNext/>
      <w:keepLines/>
      <w:spacing w:before="400" w:after="300" w:line="312" w:lineRule="auto"/>
      <w:outlineLvl w:val="1"/>
    </w:pPr>
    <w:rPr>
      <w:rFonts w:eastAsia="黑体" w:asciiTheme="majorHAnsi" w:hAnsiTheme="majorHAnsi" w:cstheme="majorBidi"/>
      <w:bCs/>
      <w:sz w:val="36"/>
      <w:szCs w:val="32"/>
    </w:rPr>
  </w:style>
  <w:style w:type="paragraph" w:styleId="6">
    <w:name w:val="heading 3"/>
    <w:basedOn w:val="1"/>
    <w:next w:val="1"/>
    <w:link w:val="49"/>
    <w:unhideWhenUsed/>
    <w:qFormat/>
    <w:uiPriority w:val="9"/>
    <w:pPr>
      <w:keepNext/>
      <w:keepLines/>
      <w:spacing w:before="260" w:after="260" w:line="416" w:lineRule="auto"/>
      <w:outlineLvl w:val="2"/>
    </w:pPr>
    <w:rPr>
      <w:rFonts w:eastAsia="楷体"/>
      <w:bCs/>
      <w:sz w:val="30"/>
      <w:szCs w:val="32"/>
    </w:rPr>
  </w:style>
  <w:style w:type="paragraph" w:styleId="7">
    <w:name w:val="heading 4"/>
    <w:basedOn w:val="1"/>
    <w:next w:val="1"/>
    <w:link w:val="58"/>
    <w:unhideWhenUsed/>
    <w:qFormat/>
    <w:uiPriority w:val="9"/>
    <w:pPr>
      <w:keepNext/>
      <w:keepLines/>
      <w:spacing w:before="280" w:after="290" w:line="376" w:lineRule="auto"/>
      <w:outlineLvl w:val="3"/>
    </w:pPr>
    <w:rPr>
      <w:rFonts w:asciiTheme="majorHAnsi" w:hAnsiTheme="majorHAnsi" w:eastAsiaTheme="majorEastAsia" w:cstheme="majorBidi"/>
      <w:b/>
      <w:bCs/>
      <w:sz w:val="24"/>
      <w:szCs w:val="28"/>
    </w:rPr>
  </w:style>
  <w:style w:type="character" w:default="1" w:styleId="3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unhideWhenUsed/>
    <w:qFormat/>
    <w:uiPriority w:val="99"/>
    <w:pPr>
      <w:spacing w:line="560" w:lineRule="exact"/>
      <w:ind w:firstLine="720" w:firstLineChars="200"/>
    </w:pPr>
  </w:style>
  <w:style w:type="paragraph" w:styleId="3">
    <w:name w:val="Body Text"/>
    <w:basedOn w:val="1"/>
    <w:unhideWhenUsed/>
    <w:qFormat/>
    <w:uiPriority w:val="99"/>
    <w:pPr>
      <w:spacing w:after="120"/>
    </w:pPr>
  </w:style>
  <w:style w:type="paragraph" w:styleId="8">
    <w:name w:val="toc 7"/>
    <w:basedOn w:val="1"/>
    <w:next w:val="1"/>
    <w:unhideWhenUsed/>
    <w:qFormat/>
    <w:uiPriority w:val="39"/>
    <w:pPr>
      <w:spacing w:line="240" w:lineRule="auto"/>
      <w:ind w:left="2520" w:leftChars="1200"/>
    </w:pPr>
    <w:rPr>
      <w:rFonts w:asciiTheme="minorHAnsi" w:hAnsiTheme="minorHAnsi" w:eastAsiaTheme="minorEastAsia" w:cstheme="minorBidi"/>
      <w:szCs w:val="22"/>
    </w:rPr>
  </w:style>
  <w:style w:type="paragraph" w:styleId="9">
    <w:name w:val="Normal Indent"/>
    <w:basedOn w:val="1"/>
    <w:qFormat/>
    <w:uiPriority w:val="0"/>
    <w:pPr>
      <w:spacing w:line="240" w:lineRule="auto"/>
      <w:ind w:firstLine="420"/>
    </w:pPr>
    <w:rPr>
      <w:szCs w:val="21"/>
    </w:rPr>
  </w:style>
  <w:style w:type="paragraph" w:styleId="10">
    <w:name w:val="caption"/>
    <w:basedOn w:val="1"/>
    <w:next w:val="1"/>
    <w:unhideWhenUsed/>
    <w:qFormat/>
    <w:uiPriority w:val="35"/>
    <w:rPr>
      <w:rFonts w:eastAsia="黑体" w:asciiTheme="majorHAnsi" w:hAnsiTheme="majorHAnsi" w:cstheme="majorBidi"/>
      <w:sz w:val="20"/>
      <w:szCs w:val="20"/>
    </w:rPr>
  </w:style>
  <w:style w:type="paragraph" w:styleId="11">
    <w:name w:val="Document Map"/>
    <w:basedOn w:val="1"/>
    <w:link w:val="57"/>
    <w:semiHidden/>
    <w:unhideWhenUsed/>
    <w:qFormat/>
    <w:uiPriority w:val="99"/>
    <w:rPr>
      <w:rFonts w:ascii="宋体"/>
      <w:sz w:val="18"/>
      <w:szCs w:val="18"/>
    </w:rPr>
  </w:style>
  <w:style w:type="paragraph" w:styleId="12">
    <w:name w:val="annotation text"/>
    <w:basedOn w:val="1"/>
    <w:link w:val="54"/>
    <w:unhideWhenUsed/>
    <w:qFormat/>
    <w:uiPriority w:val="99"/>
    <w:pPr>
      <w:jc w:val="left"/>
    </w:pPr>
  </w:style>
  <w:style w:type="paragraph" w:styleId="13">
    <w:name w:val="toc 5"/>
    <w:basedOn w:val="1"/>
    <w:next w:val="1"/>
    <w:unhideWhenUsed/>
    <w:qFormat/>
    <w:uiPriority w:val="39"/>
    <w:pPr>
      <w:spacing w:line="240" w:lineRule="auto"/>
      <w:ind w:left="1680" w:leftChars="800"/>
    </w:pPr>
    <w:rPr>
      <w:rFonts w:asciiTheme="minorHAnsi" w:hAnsiTheme="minorHAnsi" w:eastAsiaTheme="minorEastAsia" w:cstheme="minorBidi"/>
      <w:szCs w:val="22"/>
    </w:rPr>
  </w:style>
  <w:style w:type="paragraph" w:styleId="14">
    <w:name w:val="toc 3"/>
    <w:basedOn w:val="1"/>
    <w:next w:val="1"/>
    <w:unhideWhenUsed/>
    <w:qFormat/>
    <w:uiPriority w:val="39"/>
    <w:pPr>
      <w:tabs>
        <w:tab w:val="left" w:pos="1470"/>
        <w:tab w:val="right" w:leader="dot" w:pos="8296"/>
      </w:tabs>
      <w:spacing w:line="240" w:lineRule="auto"/>
      <w:ind w:left="840" w:leftChars="400"/>
    </w:pPr>
    <w:rPr>
      <w:sz w:val="20"/>
    </w:rPr>
  </w:style>
  <w:style w:type="paragraph" w:styleId="15">
    <w:name w:val="toc 8"/>
    <w:basedOn w:val="1"/>
    <w:next w:val="1"/>
    <w:unhideWhenUsed/>
    <w:qFormat/>
    <w:uiPriority w:val="39"/>
    <w:pPr>
      <w:spacing w:line="240" w:lineRule="auto"/>
      <w:ind w:left="2940" w:leftChars="1400"/>
    </w:pPr>
    <w:rPr>
      <w:rFonts w:asciiTheme="minorHAnsi" w:hAnsiTheme="minorHAnsi" w:eastAsiaTheme="minorEastAsia" w:cstheme="minorBidi"/>
      <w:szCs w:val="22"/>
    </w:rPr>
  </w:style>
  <w:style w:type="paragraph" w:styleId="16">
    <w:name w:val="Date"/>
    <w:basedOn w:val="1"/>
    <w:next w:val="1"/>
    <w:link w:val="48"/>
    <w:semiHidden/>
    <w:unhideWhenUsed/>
    <w:qFormat/>
    <w:uiPriority w:val="99"/>
    <w:pPr>
      <w:ind w:left="100" w:leftChars="2500"/>
    </w:pPr>
  </w:style>
  <w:style w:type="paragraph" w:styleId="17">
    <w:name w:val="endnote text"/>
    <w:basedOn w:val="1"/>
    <w:link w:val="60"/>
    <w:qFormat/>
    <w:uiPriority w:val="0"/>
    <w:pPr>
      <w:snapToGrid w:val="0"/>
      <w:spacing w:line="240" w:lineRule="auto"/>
      <w:jc w:val="left"/>
    </w:pPr>
    <w:rPr>
      <w:rFonts w:asciiTheme="minorHAnsi" w:hAnsiTheme="minorHAnsi" w:eastAsiaTheme="minorEastAsia" w:cstheme="minorBidi"/>
      <w:szCs w:val="22"/>
    </w:rPr>
  </w:style>
  <w:style w:type="paragraph" w:styleId="18">
    <w:name w:val="Balloon Text"/>
    <w:basedOn w:val="1"/>
    <w:link w:val="44"/>
    <w:semiHidden/>
    <w:unhideWhenUsed/>
    <w:qFormat/>
    <w:uiPriority w:val="99"/>
    <w:rPr>
      <w:sz w:val="18"/>
      <w:szCs w:val="18"/>
    </w:rPr>
  </w:style>
  <w:style w:type="paragraph" w:styleId="19">
    <w:name w:val="footer"/>
    <w:basedOn w:val="1"/>
    <w:link w:val="43"/>
    <w:unhideWhenUsed/>
    <w:qFormat/>
    <w:uiPriority w:val="99"/>
    <w:pPr>
      <w:tabs>
        <w:tab w:val="center" w:pos="4153"/>
        <w:tab w:val="right" w:pos="8306"/>
      </w:tabs>
      <w:snapToGrid w:val="0"/>
      <w:jc w:val="left"/>
    </w:pPr>
    <w:rPr>
      <w:sz w:val="18"/>
      <w:szCs w:val="18"/>
    </w:rPr>
  </w:style>
  <w:style w:type="paragraph" w:styleId="20">
    <w:name w:val="header"/>
    <w:basedOn w:val="1"/>
    <w:link w:val="42"/>
    <w:unhideWhenUsed/>
    <w:qFormat/>
    <w:uiPriority w:val="0"/>
    <w:pPr>
      <w:pBdr>
        <w:bottom w:val="single" w:color="auto" w:sz="6" w:space="1"/>
      </w:pBdr>
      <w:tabs>
        <w:tab w:val="center" w:pos="4153"/>
        <w:tab w:val="right" w:pos="8306"/>
      </w:tabs>
      <w:snapToGrid w:val="0"/>
      <w:jc w:val="center"/>
    </w:pPr>
    <w:rPr>
      <w:sz w:val="18"/>
      <w:szCs w:val="18"/>
    </w:rPr>
  </w:style>
  <w:style w:type="paragraph" w:styleId="21">
    <w:name w:val="toc 1"/>
    <w:basedOn w:val="1"/>
    <w:next w:val="1"/>
    <w:unhideWhenUsed/>
    <w:qFormat/>
    <w:uiPriority w:val="39"/>
    <w:pPr>
      <w:tabs>
        <w:tab w:val="right" w:leader="dot" w:pos="8296"/>
      </w:tabs>
      <w:spacing w:before="120" w:after="120" w:line="240" w:lineRule="auto"/>
      <w:jc w:val="left"/>
    </w:pPr>
    <w:rPr>
      <w:rFonts w:eastAsia="仿宋"/>
      <w:b/>
      <w:sz w:val="28"/>
    </w:rPr>
  </w:style>
  <w:style w:type="paragraph" w:styleId="22">
    <w:name w:val="toc 4"/>
    <w:basedOn w:val="1"/>
    <w:next w:val="1"/>
    <w:unhideWhenUsed/>
    <w:qFormat/>
    <w:uiPriority w:val="39"/>
    <w:pPr>
      <w:spacing w:line="240" w:lineRule="auto"/>
      <w:ind w:left="1260" w:leftChars="600"/>
    </w:pPr>
    <w:rPr>
      <w:rFonts w:asciiTheme="minorHAnsi" w:hAnsiTheme="minorHAnsi" w:eastAsiaTheme="minorEastAsia" w:cstheme="minorBidi"/>
      <w:szCs w:val="22"/>
    </w:rPr>
  </w:style>
  <w:style w:type="paragraph" w:styleId="23">
    <w:name w:val="footnote text"/>
    <w:basedOn w:val="1"/>
    <w:link w:val="56"/>
    <w:qFormat/>
    <w:uiPriority w:val="0"/>
    <w:pPr>
      <w:snapToGrid w:val="0"/>
      <w:spacing w:line="240" w:lineRule="auto"/>
      <w:jc w:val="left"/>
    </w:pPr>
    <w:rPr>
      <w:sz w:val="18"/>
      <w:szCs w:val="18"/>
    </w:rPr>
  </w:style>
  <w:style w:type="paragraph" w:styleId="24">
    <w:name w:val="toc 6"/>
    <w:basedOn w:val="1"/>
    <w:next w:val="1"/>
    <w:unhideWhenUsed/>
    <w:qFormat/>
    <w:uiPriority w:val="39"/>
    <w:pPr>
      <w:spacing w:line="240" w:lineRule="auto"/>
      <w:ind w:left="2100" w:leftChars="1000"/>
    </w:pPr>
    <w:rPr>
      <w:rFonts w:asciiTheme="minorHAnsi" w:hAnsiTheme="minorHAnsi" w:eastAsiaTheme="minorEastAsia" w:cstheme="minorBidi"/>
      <w:szCs w:val="22"/>
    </w:rPr>
  </w:style>
  <w:style w:type="paragraph" w:styleId="25">
    <w:name w:val="table of figures"/>
    <w:basedOn w:val="1"/>
    <w:next w:val="1"/>
    <w:unhideWhenUsed/>
    <w:qFormat/>
    <w:uiPriority w:val="99"/>
    <w:pPr>
      <w:ind w:left="200" w:leftChars="200" w:hanging="200" w:hangingChars="200"/>
    </w:pPr>
  </w:style>
  <w:style w:type="paragraph" w:styleId="26">
    <w:name w:val="toc 2"/>
    <w:basedOn w:val="1"/>
    <w:next w:val="1"/>
    <w:unhideWhenUsed/>
    <w:qFormat/>
    <w:uiPriority w:val="39"/>
    <w:pPr>
      <w:tabs>
        <w:tab w:val="left" w:pos="1260"/>
        <w:tab w:val="right" w:leader="dot" w:pos="8296"/>
      </w:tabs>
      <w:spacing w:line="240" w:lineRule="auto"/>
      <w:ind w:left="420" w:leftChars="200"/>
    </w:pPr>
    <w:rPr>
      <w:rFonts w:eastAsia="黑体"/>
      <w:sz w:val="20"/>
    </w:rPr>
  </w:style>
  <w:style w:type="paragraph" w:styleId="27">
    <w:name w:val="toc 9"/>
    <w:basedOn w:val="1"/>
    <w:next w:val="1"/>
    <w:unhideWhenUsed/>
    <w:qFormat/>
    <w:uiPriority w:val="39"/>
    <w:pPr>
      <w:spacing w:line="240" w:lineRule="auto"/>
      <w:ind w:left="3360" w:leftChars="1600"/>
    </w:pPr>
    <w:rPr>
      <w:rFonts w:asciiTheme="minorHAnsi" w:hAnsiTheme="minorHAnsi" w:eastAsiaTheme="minorEastAsia" w:cstheme="minorBidi"/>
      <w:szCs w:val="22"/>
    </w:rPr>
  </w:style>
  <w:style w:type="paragraph" w:styleId="28">
    <w:name w:val="Normal (Web)"/>
    <w:basedOn w:val="1"/>
    <w:qFormat/>
    <w:uiPriority w:val="99"/>
    <w:pPr>
      <w:widowControl/>
      <w:spacing w:before="30" w:after="100" w:afterAutospacing="1" w:line="240" w:lineRule="auto"/>
      <w:ind w:firstLine="420"/>
      <w:jc w:val="left"/>
    </w:pPr>
    <w:rPr>
      <w:rFonts w:ascii="宋体" w:hAnsi="宋体" w:cs="宋体"/>
      <w:kern w:val="0"/>
      <w:sz w:val="20"/>
      <w:szCs w:val="20"/>
    </w:rPr>
  </w:style>
  <w:style w:type="paragraph" w:styleId="29">
    <w:name w:val="Title"/>
    <w:basedOn w:val="1"/>
    <w:next w:val="1"/>
    <w:link w:val="47"/>
    <w:qFormat/>
    <w:uiPriority w:val="10"/>
    <w:pPr>
      <w:spacing w:before="320" w:after="200"/>
      <w:jc w:val="center"/>
      <w:outlineLvl w:val="0"/>
    </w:pPr>
    <w:rPr>
      <w:rFonts w:eastAsia="楷体" w:asciiTheme="majorHAnsi" w:hAnsiTheme="majorHAnsi" w:cstheme="majorBidi"/>
      <w:bCs/>
      <w:sz w:val="30"/>
      <w:szCs w:val="32"/>
    </w:rPr>
  </w:style>
  <w:style w:type="paragraph" w:styleId="30">
    <w:name w:val="annotation subject"/>
    <w:basedOn w:val="12"/>
    <w:next w:val="12"/>
    <w:link w:val="55"/>
    <w:semiHidden/>
    <w:unhideWhenUsed/>
    <w:qFormat/>
    <w:uiPriority w:val="99"/>
    <w:rPr>
      <w:b/>
      <w:bCs/>
    </w:rPr>
  </w:style>
  <w:style w:type="table" w:styleId="32">
    <w:name w:val="Table Grid"/>
    <w:basedOn w:val="3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3">
    <w:name w:val="Table Elegant"/>
    <w:basedOn w:val="31"/>
    <w:semiHidden/>
    <w:unhideWhenUsed/>
    <w:qFormat/>
    <w:uiPriority w:val="99"/>
    <w:pPr>
      <w:widowControl w:val="0"/>
      <w:spacing w:line="360" w:lineRule="auto"/>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character" w:styleId="35">
    <w:name w:val="Strong"/>
    <w:basedOn w:val="34"/>
    <w:qFormat/>
    <w:uiPriority w:val="22"/>
    <w:rPr>
      <w:b/>
      <w:bCs/>
    </w:rPr>
  </w:style>
  <w:style w:type="character" w:styleId="36">
    <w:name w:val="endnote reference"/>
    <w:basedOn w:val="34"/>
    <w:qFormat/>
    <w:uiPriority w:val="0"/>
    <w:rPr>
      <w:vertAlign w:val="superscript"/>
    </w:rPr>
  </w:style>
  <w:style w:type="character" w:styleId="37">
    <w:name w:val="page number"/>
    <w:basedOn w:val="34"/>
    <w:qFormat/>
    <w:uiPriority w:val="0"/>
  </w:style>
  <w:style w:type="character" w:styleId="38">
    <w:name w:val="Emphasis"/>
    <w:basedOn w:val="34"/>
    <w:qFormat/>
    <w:uiPriority w:val="20"/>
    <w:rPr>
      <w:i/>
      <w:iCs/>
    </w:rPr>
  </w:style>
  <w:style w:type="character" w:styleId="39">
    <w:name w:val="Hyperlink"/>
    <w:basedOn w:val="34"/>
    <w:unhideWhenUsed/>
    <w:qFormat/>
    <w:uiPriority w:val="99"/>
    <w:rPr>
      <w:color w:val="0563C1" w:themeColor="hyperlink"/>
      <w:u w:val="single"/>
      <w14:textFill>
        <w14:solidFill>
          <w14:schemeClr w14:val="hlink"/>
        </w14:solidFill>
      </w14:textFill>
    </w:rPr>
  </w:style>
  <w:style w:type="character" w:styleId="40">
    <w:name w:val="annotation reference"/>
    <w:basedOn w:val="34"/>
    <w:semiHidden/>
    <w:unhideWhenUsed/>
    <w:qFormat/>
    <w:uiPriority w:val="99"/>
    <w:rPr>
      <w:sz w:val="21"/>
      <w:szCs w:val="21"/>
    </w:rPr>
  </w:style>
  <w:style w:type="character" w:styleId="41">
    <w:name w:val="footnote reference"/>
    <w:basedOn w:val="34"/>
    <w:qFormat/>
    <w:uiPriority w:val="0"/>
    <w:rPr>
      <w:rFonts w:cs="Times New Roman"/>
      <w:vertAlign w:val="superscript"/>
    </w:rPr>
  </w:style>
  <w:style w:type="character" w:customStyle="1" w:styleId="42">
    <w:name w:val="页眉 字符"/>
    <w:basedOn w:val="34"/>
    <w:link w:val="20"/>
    <w:qFormat/>
    <w:uiPriority w:val="0"/>
    <w:rPr>
      <w:rFonts w:ascii="Times New Roman" w:hAnsi="Times New Roman" w:eastAsia="宋体" w:cs="Times New Roman"/>
      <w:sz w:val="18"/>
      <w:szCs w:val="18"/>
    </w:rPr>
  </w:style>
  <w:style w:type="character" w:customStyle="1" w:styleId="43">
    <w:name w:val="页脚 字符"/>
    <w:basedOn w:val="34"/>
    <w:link w:val="19"/>
    <w:qFormat/>
    <w:uiPriority w:val="99"/>
    <w:rPr>
      <w:sz w:val="18"/>
      <w:szCs w:val="18"/>
    </w:rPr>
  </w:style>
  <w:style w:type="character" w:customStyle="1" w:styleId="44">
    <w:name w:val="批注框文本 字符"/>
    <w:basedOn w:val="34"/>
    <w:link w:val="18"/>
    <w:semiHidden/>
    <w:qFormat/>
    <w:uiPriority w:val="99"/>
    <w:rPr>
      <w:rFonts w:ascii="Times New Roman" w:hAnsi="Times New Roman" w:eastAsia="宋体" w:cs="Times New Roman"/>
      <w:sz w:val="18"/>
      <w:szCs w:val="18"/>
    </w:rPr>
  </w:style>
  <w:style w:type="character" w:customStyle="1" w:styleId="45">
    <w:name w:val="标题 1 字符"/>
    <w:basedOn w:val="34"/>
    <w:link w:val="4"/>
    <w:qFormat/>
    <w:uiPriority w:val="9"/>
    <w:rPr>
      <w:rFonts w:ascii="Times New Roman" w:hAnsi="Times New Roman" w:eastAsia="仿宋_GB2312" w:cs="Times New Roman"/>
      <w:b/>
      <w:bCs/>
      <w:kern w:val="44"/>
      <w:sz w:val="52"/>
      <w:szCs w:val="44"/>
    </w:rPr>
  </w:style>
  <w:style w:type="character" w:customStyle="1" w:styleId="46">
    <w:name w:val="标题 2 字符"/>
    <w:basedOn w:val="34"/>
    <w:link w:val="5"/>
    <w:qFormat/>
    <w:uiPriority w:val="9"/>
    <w:rPr>
      <w:rFonts w:eastAsia="黑体" w:asciiTheme="majorHAnsi" w:hAnsiTheme="majorHAnsi" w:cstheme="majorBidi"/>
      <w:bCs/>
      <w:sz w:val="36"/>
      <w:szCs w:val="32"/>
    </w:rPr>
  </w:style>
  <w:style w:type="character" w:customStyle="1" w:styleId="47">
    <w:name w:val="标题 字符"/>
    <w:basedOn w:val="34"/>
    <w:link w:val="29"/>
    <w:qFormat/>
    <w:uiPriority w:val="10"/>
    <w:rPr>
      <w:rFonts w:eastAsia="楷体" w:asciiTheme="majorHAnsi" w:hAnsiTheme="majorHAnsi" w:cstheme="majorBidi"/>
      <w:bCs/>
      <w:sz w:val="30"/>
      <w:szCs w:val="32"/>
    </w:rPr>
  </w:style>
  <w:style w:type="character" w:customStyle="1" w:styleId="48">
    <w:name w:val="日期 字符"/>
    <w:basedOn w:val="34"/>
    <w:link w:val="16"/>
    <w:semiHidden/>
    <w:qFormat/>
    <w:uiPriority w:val="99"/>
    <w:rPr>
      <w:rFonts w:ascii="Times New Roman" w:hAnsi="Times New Roman" w:eastAsia="宋体" w:cs="Times New Roman"/>
      <w:szCs w:val="24"/>
    </w:rPr>
  </w:style>
  <w:style w:type="character" w:customStyle="1" w:styleId="49">
    <w:name w:val="标题 3 字符"/>
    <w:basedOn w:val="34"/>
    <w:link w:val="6"/>
    <w:qFormat/>
    <w:uiPriority w:val="9"/>
    <w:rPr>
      <w:rFonts w:ascii="Times New Roman" w:hAnsi="Times New Roman" w:eastAsia="楷体" w:cs="Times New Roman"/>
      <w:bCs/>
      <w:sz w:val="30"/>
      <w:szCs w:val="32"/>
    </w:rPr>
  </w:style>
  <w:style w:type="paragraph" w:styleId="50">
    <w:name w:val="List Paragraph"/>
    <w:basedOn w:val="1"/>
    <w:link w:val="53"/>
    <w:qFormat/>
    <w:uiPriority w:val="34"/>
    <w:pPr>
      <w:ind w:firstLine="420" w:firstLineChars="200"/>
    </w:pPr>
  </w:style>
  <w:style w:type="table" w:customStyle="1" w:styleId="51">
    <w:name w:val="样式1"/>
    <w:basedOn w:val="33"/>
    <w:qFormat/>
    <w:uiPriority w:val="99"/>
    <w:pPr>
      <w:spacing w:line="240" w:lineRule="auto"/>
    </w:pPr>
    <w:tcPr>
      <w:shd w:val="clear" w:color="auto" w:fill="auto"/>
    </w:tcPr>
    <w:tblStylePr w:type="firstRow">
      <w:rPr>
        <w:caps/>
        <w:color w:val="auto"/>
      </w:rPr>
      <w:tcPr>
        <w:tcBorders>
          <w:tl2br w:val="nil"/>
          <w:tr2bl w:val="nil"/>
        </w:tcBorders>
      </w:tcPr>
    </w:tblStylePr>
  </w:style>
  <w:style w:type="paragraph" w:styleId="52">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53">
    <w:name w:val="列表段落 字符"/>
    <w:basedOn w:val="34"/>
    <w:link w:val="50"/>
    <w:qFormat/>
    <w:uiPriority w:val="34"/>
    <w:rPr>
      <w:rFonts w:ascii="Times New Roman" w:hAnsi="Times New Roman" w:eastAsia="宋体" w:cs="Times New Roman"/>
      <w:szCs w:val="24"/>
    </w:rPr>
  </w:style>
  <w:style w:type="character" w:customStyle="1" w:styleId="54">
    <w:name w:val="批注文字 字符"/>
    <w:basedOn w:val="34"/>
    <w:link w:val="12"/>
    <w:qFormat/>
    <w:uiPriority w:val="99"/>
    <w:rPr>
      <w:rFonts w:ascii="Times New Roman" w:hAnsi="Times New Roman" w:eastAsia="宋体" w:cs="Times New Roman"/>
      <w:szCs w:val="24"/>
    </w:rPr>
  </w:style>
  <w:style w:type="character" w:customStyle="1" w:styleId="55">
    <w:name w:val="批注主题 字符"/>
    <w:basedOn w:val="54"/>
    <w:link w:val="30"/>
    <w:semiHidden/>
    <w:qFormat/>
    <w:uiPriority w:val="99"/>
    <w:rPr>
      <w:rFonts w:ascii="Times New Roman" w:hAnsi="Times New Roman" w:eastAsia="宋体" w:cs="Times New Roman"/>
      <w:b/>
      <w:bCs/>
      <w:szCs w:val="24"/>
    </w:rPr>
  </w:style>
  <w:style w:type="character" w:customStyle="1" w:styleId="56">
    <w:name w:val="脚注文本 字符"/>
    <w:basedOn w:val="34"/>
    <w:link w:val="23"/>
    <w:qFormat/>
    <w:uiPriority w:val="0"/>
    <w:rPr>
      <w:rFonts w:ascii="Times New Roman" w:hAnsi="Times New Roman" w:eastAsia="宋体" w:cs="Times New Roman"/>
      <w:sz w:val="18"/>
      <w:szCs w:val="18"/>
    </w:rPr>
  </w:style>
  <w:style w:type="character" w:customStyle="1" w:styleId="57">
    <w:name w:val="文档结构图 字符"/>
    <w:basedOn w:val="34"/>
    <w:link w:val="11"/>
    <w:semiHidden/>
    <w:qFormat/>
    <w:uiPriority w:val="99"/>
    <w:rPr>
      <w:rFonts w:ascii="宋体" w:hAnsi="Times New Roman" w:eastAsia="宋体" w:cs="Times New Roman"/>
      <w:sz w:val="18"/>
      <w:szCs w:val="18"/>
    </w:rPr>
  </w:style>
  <w:style w:type="character" w:customStyle="1" w:styleId="58">
    <w:name w:val="标题 4 字符"/>
    <w:basedOn w:val="34"/>
    <w:link w:val="7"/>
    <w:qFormat/>
    <w:uiPriority w:val="9"/>
    <w:rPr>
      <w:rFonts w:asciiTheme="majorHAnsi" w:hAnsiTheme="majorHAnsi" w:eastAsiaTheme="majorEastAsia" w:cstheme="majorBidi"/>
      <w:b/>
      <w:bCs/>
      <w:sz w:val="24"/>
      <w:szCs w:val="28"/>
    </w:rPr>
  </w:style>
  <w:style w:type="table" w:customStyle="1" w:styleId="59">
    <w:name w:val="浅色列表 - 强调文字颜色 11"/>
    <w:basedOn w:val="31"/>
    <w:qFormat/>
    <w:uiPriority w:val="61"/>
    <w:tblPr>
      <w:tblBorders>
        <w:top w:val="single" w:color="5B9BD5" w:themeColor="accent1" w:sz="8" w:space="0"/>
        <w:left w:val="single" w:color="5B9BD5" w:themeColor="accent1" w:sz="8" w:space="0"/>
        <w:bottom w:val="single" w:color="5B9BD5" w:themeColor="accent1" w:sz="8" w:space="0"/>
        <w:right w:val="single" w:color="5B9BD5" w:themeColor="accent1" w:sz="8" w:space="0"/>
      </w:tblBorders>
    </w:tblPr>
    <w:tblStylePr w:type="firstRow">
      <w:pPr>
        <w:spacing w:before="0" w:after="0" w:line="240" w:lineRule="auto"/>
      </w:pPr>
      <w:rPr>
        <w:b/>
        <w:bCs/>
        <w:color w:val="FFFFFF" w:themeColor="background1"/>
        <w14:textFill>
          <w14:solidFill>
            <w14:schemeClr w14:val="bg1"/>
          </w14:solidFill>
        </w14:textFill>
      </w:rPr>
      <w:tcPr>
        <w:shd w:val="clear" w:color="auto" w:fill="5B9BD5" w:themeFill="accent1"/>
      </w:tcPr>
    </w:tblStylePr>
    <w:tblStylePr w:type="lastRow">
      <w:pPr>
        <w:spacing w:before="0" w:after="0" w:line="240" w:lineRule="auto"/>
      </w:pPr>
      <w:rPr>
        <w:b/>
        <w:bCs/>
      </w:rPr>
      <w:tcPr>
        <w:tcBorders>
          <w:top w:val="double" w:color="5B9BD5" w:themeColor="accent1" w:sz="6" w:space="0"/>
          <w:left w:val="single" w:color="5B9BD5" w:themeColor="accent1" w:sz="8" w:space="0"/>
          <w:bottom w:val="single" w:color="5B9BD5" w:themeColor="accent1" w:sz="8" w:space="0"/>
          <w:right w:val="single" w:color="5B9BD5" w:themeColor="accent1" w:sz="8" w:space="0"/>
        </w:tcBorders>
      </w:tcPr>
    </w:tblStylePr>
    <w:tblStylePr w:type="firstCol">
      <w:rPr>
        <w:b/>
        <w:bCs/>
      </w:rPr>
    </w:tblStylePr>
    <w:tblStylePr w:type="lastCol">
      <w:rPr>
        <w:b/>
        <w:bCs/>
      </w:rPr>
    </w:tblStylePr>
    <w:tblStylePr w:type="band1Vert">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tblStylePr w:type="band1Horz">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style>
  <w:style w:type="character" w:customStyle="1" w:styleId="60">
    <w:name w:val="尾注文本 字符"/>
    <w:basedOn w:val="34"/>
    <w:link w:val="17"/>
    <w:qFormat/>
    <w:uiPriority w:val="0"/>
  </w:style>
  <w:style w:type="character" w:customStyle="1" w:styleId="61">
    <w:name w:val="未处理的提及1"/>
    <w:basedOn w:val="34"/>
    <w:semiHidden/>
    <w:unhideWhenUsed/>
    <w:qFormat/>
    <w:uiPriority w:val="99"/>
    <w:rPr>
      <w:color w:val="605E5C"/>
      <w:shd w:val="clear" w:color="auto" w:fill="E1DFDD"/>
    </w:rPr>
  </w:style>
  <w:style w:type="character" w:customStyle="1" w:styleId="62">
    <w:name w:val="未处理的提及2"/>
    <w:basedOn w:val="34"/>
    <w:semiHidden/>
    <w:unhideWhenUsed/>
    <w:qFormat/>
    <w:uiPriority w:val="99"/>
    <w:rPr>
      <w:color w:val="605E5C"/>
      <w:shd w:val="clear" w:color="auto" w:fill="E1DFDD"/>
    </w:rPr>
  </w:style>
  <w:style w:type="character" w:customStyle="1" w:styleId="63">
    <w:name w:val="NormalCharacter"/>
    <w:qFormat/>
    <w:uiPriority w:val="0"/>
  </w:style>
  <w:style w:type="paragraph" w:customStyle="1" w:styleId="64">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0" Type="http://schemas.openxmlformats.org/officeDocument/2006/relationships/fontTable" Target="fontTable.xml"/><Relationship Id="rId8" Type="http://schemas.openxmlformats.org/officeDocument/2006/relationships/header" Target="header3.xml"/><Relationship Id="rId79" Type="http://schemas.openxmlformats.org/officeDocument/2006/relationships/numbering" Target="numbering.xml"/><Relationship Id="rId78" Type="http://schemas.openxmlformats.org/officeDocument/2006/relationships/customXml" Target="../customXml/item1.xml"/><Relationship Id="rId77" Type="http://schemas.openxmlformats.org/officeDocument/2006/relationships/chart" Target="charts/chart56.xml"/><Relationship Id="rId76" Type="http://schemas.openxmlformats.org/officeDocument/2006/relationships/chart" Target="charts/chart55.xml"/><Relationship Id="rId75" Type="http://schemas.openxmlformats.org/officeDocument/2006/relationships/chart" Target="charts/chart54.xml"/><Relationship Id="rId74" Type="http://schemas.openxmlformats.org/officeDocument/2006/relationships/chart" Target="charts/chart53.xml"/><Relationship Id="rId73" Type="http://schemas.openxmlformats.org/officeDocument/2006/relationships/chart" Target="charts/chart52.xml"/><Relationship Id="rId72" Type="http://schemas.openxmlformats.org/officeDocument/2006/relationships/chart" Target="charts/chart51.xml"/><Relationship Id="rId71" Type="http://schemas.openxmlformats.org/officeDocument/2006/relationships/chart" Target="charts/chart50.xml"/><Relationship Id="rId70" Type="http://schemas.openxmlformats.org/officeDocument/2006/relationships/chart" Target="charts/chart49.xml"/><Relationship Id="rId7" Type="http://schemas.openxmlformats.org/officeDocument/2006/relationships/footer" Target="footer1.xml"/><Relationship Id="rId69" Type="http://schemas.openxmlformats.org/officeDocument/2006/relationships/chart" Target="charts/chart48.xml"/><Relationship Id="rId68" Type="http://schemas.openxmlformats.org/officeDocument/2006/relationships/chart" Target="charts/chart47.xml"/><Relationship Id="rId67" Type="http://schemas.openxmlformats.org/officeDocument/2006/relationships/chart" Target="charts/chart46.xml"/><Relationship Id="rId66" Type="http://schemas.openxmlformats.org/officeDocument/2006/relationships/chart" Target="charts/chart45.xml"/><Relationship Id="rId65" Type="http://schemas.openxmlformats.org/officeDocument/2006/relationships/chart" Target="charts/chart44.xml"/><Relationship Id="rId64" Type="http://schemas.openxmlformats.org/officeDocument/2006/relationships/chart" Target="charts/chart43.xml"/><Relationship Id="rId63" Type="http://schemas.openxmlformats.org/officeDocument/2006/relationships/chart" Target="charts/chart42.xml"/><Relationship Id="rId62" Type="http://schemas.openxmlformats.org/officeDocument/2006/relationships/chart" Target="charts/chart41.xml"/><Relationship Id="rId61" Type="http://schemas.openxmlformats.org/officeDocument/2006/relationships/chart" Target="charts/chart40.xml"/><Relationship Id="rId60" Type="http://schemas.openxmlformats.org/officeDocument/2006/relationships/chart" Target="charts/chart39.xml"/><Relationship Id="rId6" Type="http://schemas.openxmlformats.org/officeDocument/2006/relationships/header" Target="header2.xml"/><Relationship Id="rId59" Type="http://schemas.openxmlformats.org/officeDocument/2006/relationships/chart" Target="charts/chart38.xml"/><Relationship Id="rId58" Type="http://schemas.openxmlformats.org/officeDocument/2006/relationships/chart" Target="charts/chart37.xml"/><Relationship Id="rId57" Type="http://schemas.openxmlformats.org/officeDocument/2006/relationships/chart" Target="charts/chart36.xml"/><Relationship Id="rId56" Type="http://schemas.openxmlformats.org/officeDocument/2006/relationships/chart" Target="charts/chart35.xml"/><Relationship Id="rId55" Type="http://schemas.openxmlformats.org/officeDocument/2006/relationships/chart" Target="charts/chart34.xml"/><Relationship Id="rId54" Type="http://schemas.openxmlformats.org/officeDocument/2006/relationships/chart" Target="charts/chart33.xml"/><Relationship Id="rId53" Type="http://schemas.openxmlformats.org/officeDocument/2006/relationships/chart" Target="charts/chart32.xml"/><Relationship Id="rId52" Type="http://schemas.openxmlformats.org/officeDocument/2006/relationships/chart" Target="charts/chart31.xml"/><Relationship Id="rId51" Type="http://schemas.openxmlformats.org/officeDocument/2006/relationships/chart" Target="charts/chart30.xml"/><Relationship Id="rId50" Type="http://schemas.openxmlformats.org/officeDocument/2006/relationships/chart" Target="charts/chart29.xml"/><Relationship Id="rId5" Type="http://schemas.openxmlformats.org/officeDocument/2006/relationships/header" Target="header1.xml"/><Relationship Id="rId49" Type="http://schemas.openxmlformats.org/officeDocument/2006/relationships/chart" Target="charts/chart28.xml"/><Relationship Id="rId48" Type="http://schemas.openxmlformats.org/officeDocument/2006/relationships/chart" Target="charts/chart27.xml"/><Relationship Id="rId47" Type="http://schemas.openxmlformats.org/officeDocument/2006/relationships/chart" Target="charts/chart26.xml"/><Relationship Id="rId46" Type="http://schemas.openxmlformats.org/officeDocument/2006/relationships/chart" Target="charts/chart25.xml"/><Relationship Id="rId45" Type="http://schemas.openxmlformats.org/officeDocument/2006/relationships/chart" Target="charts/chart24.xml"/><Relationship Id="rId44" Type="http://schemas.openxmlformats.org/officeDocument/2006/relationships/chart" Target="charts/chart23.xml"/><Relationship Id="rId43" Type="http://schemas.openxmlformats.org/officeDocument/2006/relationships/chart" Target="charts/chart22.xml"/><Relationship Id="rId42" Type="http://schemas.openxmlformats.org/officeDocument/2006/relationships/chart" Target="charts/chart21.xml"/><Relationship Id="rId41" Type="http://schemas.openxmlformats.org/officeDocument/2006/relationships/chart" Target="charts/chart20.xml"/><Relationship Id="rId40" Type="http://schemas.openxmlformats.org/officeDocument/2006/relationships/chart" Target="charts/chart19.xml"/><Relationship Id="rId4" Type="http://schemas.openxmlformats.org/officeDocument/2006/relationships/endnotes" Target="endnotes.xml"/><Relationship Id="rId39" Type="http://schemas.openxmlformats.org/officeDocument/2006/relationships/chart" Target="charts/chart18.xml"/><Relationship Id="rId38" Type="http://schemas.openxmlformats.org/officeDocument/2006/relationships/chart" Target="charts/chart17.xml"/><Relationship Id="rId37" Type="http://schemas.openxmlformats.org/officeDocument/2006/relationships/chart" Target="charts/chart16.xml"/><Relationship Id="rId36" Type="http://schemas.openxmlformats.org/officeDocument/2006/relationships/chart" Target="charts/chart15.xml"/><Relationship Id="rId35" Type="http://schemas.openxmlformats.org/officeDocument/2006/relationships/chart" Target="charts/chart14.xml"/><Relationship Id="rId34" Type="http://schemas.openxmlformats.org/officeDocument/2006/relationships/chart" Target="charts/chart13.xml"/><Relationship Id="rId33" Type="http://schemas.openxmlformats.org/officeDocument/2006/relationships/chart" Target="charts/chart12.xml"/><Relationship Id="rId32" Type="http://schemas.openxmlformats.org/officeDocument/2006/relationships/chart" Target="charts/chart11.xml"/><Relationship Id="rId31" Type="http://schemas.openxmlformats.org/officeDocument/2006/relationships/chart" Target="charts/chart10.xml"/><Relationship Id="rId30" Type="http://schemas.openxmlformats.org/officeDocument/2006/relationships/chart" Target="charts/chart9.xml"/><Relationship Id="rId3" Type="http://schemas.openxmlformats.org/officeDocument/2006/relationships/footnotes" Target="footnotes.xml"/><Relationship Id="rId29" Type="http://schemas.openxmlformats.org/officeDocument/2006/relationships/chart" Target="charts/chart8.xml"/><Relationship Id="rId28" Type="http://schemas.openxmlformats.org/officeDocument/2006/relationships/chart" Target="charts/chart7.xml"/><Relationship Id="rId27" Type="http://schemas.openxmlformats.org/officeDocument/2006/relationships/chart" Target="charts/chart6.xml"/><Relationship Id="rId26" Type="http://schemas.openxmlformats.org/officeDocument/2006/relationships/chart" Target="charts/chart5.xml"/><Relationship Id="rId25" Type="http://schemas.openxmlformats.org/officeDocument/2006/relationships/chart" Target="charts/chart4.xml"/><Relationship Id="rId24" Type="http://schemas.openxmlformats.org/officeDocument/2006/relationships/chart" Target="charts/chart3.xml"/><Relationship Id="rId23" Type="http://schemas.openxmlformats.org/officeDocument/2006/relationships/chart" Target="charts/chart2.xml"/><Relationship Id="rId22" Type="http://schemas.openxmlformats.org/officeDocument/2006/relationships/chart" Target="charts/chart1.xml"/><Relationship Id="rId21" Type="http://schemas.openxmlformats.org/officeDocument/2006/relationships/image" Target="media/image3.jpe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footer" Target="footer5.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footer" Target="footer4.xml"/><Relationship Id="rId12" Type="http://schemas.openxmlformats.org/officeDocument/2006/relationships/footer" Target="footer3.xml"/><Relationship Id="rId11" Type="http://schemas.openxmlformats.org/officeDocument/2006/relationships/footer" Target="footer2.xml"/><Relationship Id="rId10" Type="http://schemas.openxmlformats.org/officeDocument/2006/relationships/header" Target="header5.xml"/><Relationship Id="rId1" Type="http://schemas.openxmlformats.org/officeDocument/2006/relationships/styles" Target="styles.xml"/></Relationships>
</file>

<file path=word/_rels/footer7.xml.rels><?xml version="1.0" encoding="UTF-8" standalone="yes"?>
<Relationships xmlns="http://schemas.openxmlformats.org/package/2006/relationships"><Relationship Id="rId1" Type="http://schemas.openxmlformats.org/officeDocument/2006/relationships/image" Target="media/image2.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themeOverride" Target="../theme/themeOverride12.xml"/><Relationship Id="rId1" Type="http://schemas.openxmlformats.org/officeDocument/2006/relationships/package" Target="../embeddings/Workbook12.xlsx"/></Relationships>
</file>

<file path=word/charts/_rels/chart2.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tmp/wps.xh1994/Workbook1.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media/greatwall/KINGSTON/&#21327;&#21830;&#20195;&#35328;&#22788;/&#20114;&#32852;&#32593;&#25253;&#21578;/&#26410;&#25104;&#24180;&#35843;&#26597;&#34917;&#20805;&#20132;&#21449;&#25968;&#25454;-0923.xlsx" TargetMode="External"/></Relationships>
</file>

<file path=word/charts/_rels/chart4.xml.rels><?xml version="1.0" encoding="UTF-8" standalone="yes"?>
<Relationships xmlns="http://schemas.openxmlformats.org/package/2006/relationships"><Relationship Id="rId2" Type="http://schemas.openxmlformats.org/officeDocument/2006/relationships/themeOverride" Target="../theme/themeOverride11.xml"/><Relationship Id="rId1" Type="http://schemas.openxmlformats.org/officeDocument/2006/relationships/package" Target="../embeddings/Workbook11.xlsx"/></Relationships>
</file>

<file path=word/charts/_rels/chart5.xml.rels><?xml version="1.0" encoding="UTF-8" standalone="yes"?>
<Relationships xmlns="http://schemas.openxmlformats.org/package/2006/relationships"><Relationship Id="rId2" Type="http://schemas.openxmlformats.org/officeDocument/2006/relationships/themeOverride" Target="../theme/themeOverride13.xml"/><Relationship Id="rId1" Type="http://schemas.openxmlformats.org/officeDocument/2006/relationships/package" Target="../embeddings/Workbook13.xlsx"/></Relationships>
</file>

<file path=word/charts/_rels/chart6.xml.rels><?xml version="1.0" encoding="UTF-8" standalone="yes"?>
<Relationships xmlns="http://schemas.openxmlformats.org/package/2006/relationships"><Relationship Id="rId2" Type="http://schemas.openxmlformats.org/officeDocument/2006/relationships/themeOverride" Target="../theme/themeOverride10.xml"/><Relationship Id="rId1" Type="http://schemas.openxmlformats.org/officeDocument/2006/relationships/package" Target="../embeddings/Workbook10.xlsx"/></Relationships>
</file>

<file path=word/charts/_rels/chart7.xml.rels><?xml version="1.0" encoding="UTF-8" standalone="yes"?>
<Relationships xmlns="http://schemas.openxmlformats.org/package/2006/relationships"><Relationship Id="rId2" Type="http://schemas.openxmlformats.org/officeDocument/2006/relationships/themeOverride" Target="../theme/themeOverride14.xml"/><Relationship Id="rId1" Type="http://schemas.openxmlformats.org/officeDocument/2006/relationships/package" Target="../embeddings/Workbook14.xlsx"/></Relationships>
</file>

<file path=word/charts/_rels/chart8.xml.rels><?xml version="1.0" encoding="UTF-8" standalone="yes"?>
<Relationships xmlns="http://schemas.openxmlformats.org/package/2006/relationships"><Relationship Id="rId2" Type="http://schemas.openxmlformats.org/officeDocument/2006/relationships/themeOverride" Target="../theme/themeOverride4.xml"/><Relationship Id="rId1" Type="http://schemas.openxmlformats.org/officeDocument/2006/relationships/package" Target="../embeddings/Workbook4.xlsx"/></Relationships>
</file>

<file path=word/charts/_rels/chart9.xml.rels><?xml version="1.0" encoding="UTF-8" standalone="yes"?>
<Relationships xmlns="http://schemas.openxmlformats.org/package/2006/relationships"><Relationship Id="rId2" Type="http://schemas.openxmlformats.org/officeDocument/2006/relationships/themeOverride" Target="../theme/themeOverride9.xml"/><Relationship Id="rId1" Type="http://schemas.openxmlformats.org/officeDocument/2006/relationships/package" Target="../embeddings/Workbook9.xlsx"/></Relationships>
</file>

<file path=word/charts/_rels/chart10.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24037;&#20316;&#31807;1"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tmp/wps.Nm1994/Workbook12.xlsx" TargetMode="External"/></Relationships>
</file>

<file path=word/charts/_rels/chart12.xml.rels><?xml version="1.0" encoding="UTF-8" standalone="yes"?>
<Relationships xmlns="http://schemas.openxmlformats.org/package/2006/relationships"><Relationship Id="rId2" Type="http://schemas.openxmlformats.org/officeDocument/2006/relationships/themeOverride" Target="../theme/themeOverride3.xml"/><Relationship Id="rId1" Type="http://schemas.openxmlformats.org/officeDocument/2006/relationships/package" Target="../embeddings/Workbook3.xlsx"/></Relationships>
</file>

<file path=word/charts/_rels/chart13.xml.rels><?xml version="1.0" encoding="UTF-8" standalone="yes"?>
<Relationships xmlns="http://schemas.openxmlformats.org/package/2006/relationships"><Relationship Id="rId2" Type="http://schemas.openxmlformats.org/officeDocument/2006/relationships/themeOverride" Target="../theme/themeOverride5.xml"/><Relationship Id="rId1" Type="http://schemas.openxmlformats.org/officeDocument/2006/relationships/package" Target="../embeddings/Workbook6.xlsx"/></Relationships>
</file>

<file path=word/charts/_rels/chart14.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package" Target="../embeddings/Workbook1.xlsx"/></Relationships>
</file>

<file path=word/charts/_rels/chart15.xml.rels><?xml version="1.0" encoding="UTF-8" standalone="yes"?>
<Relationships xmlns="http://schemas.openxmlformats.org/package/2006/relationships"><Relationship Id="rId2" Type="http://schemas.openxmlformats.org/officeDocument/2006/relationships/themeOverride" Target="../theme/themeOverride2.xml"/><Relationship Id="rId1" Type="http://schemas.openxmlformats.org/officeDocument/2006/relationships/package" Target="../embeddings/Workbook2.xlsx"/></Relationships>
</file>

<file path=word/charts/_rels/chart16.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D:\&#21327;&#21830;&#20195;&#35328;&#22788;\&#20114;&#32852;&#32593;&#25253;&#21578;\&#26410;&#25104;&#24180;&#35843;&#26597;&#34917;&#20805;&#20132;&#21449;&#25968;&#25454;-0923.xlsx" TargetMode="External"/></Relationships>
</file>

<file path=word/charts/_rels/chart17.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18.xml.rels><?xml version="1.0" encoding="UTF-8" standalone="yes"?>
<Relationships xmlns="http://schemas.openxmlformats.org/package/2006/relationships"><Relationship Id="rId2" Type="http://schemas.openxmlformats.org/officeDocument/2006/relationships/themeOverride" Target="../theme/themeOverride6.xml"/><Relationship Id="rId1" Type="http://schemas.openxmlformats.org/officeDocument/2006/relationships/oleObject" Target="NULL" TargetMode="External"/></Relationships>
</file>

<file path=word/charts/_rels/chart19.xml.rels><?xml version="1.0" encoding="UTF-8" standalone="yes"?>
<Relationships xmlns="http://schemas.openxmlformats.org/package/2006/relationships"><Relationship Id="rId2" Type="http://schemas.openxmlformats.org/officeDocument/2006/relationships/themeOverride" Target="../theme/themeOverride7.xml"/><Relationship Id="rId1" Type="http://schemas.openxmlformats.org/officeDocument/2006/relationships/package" Target="../embeddings/Workbook7.xlsx"/></Relationships>
</file>

<file path=word/charts/_rels/chart20.xml.rels><?xml version="1.0" encoding="UTF-8" standalone="yes"?>
<Relationships xmlns="http://schemas.openxmlformats.org/package/2006/relationships"><Relationship Id="rId2" Type="http://schemas.openxmlformats.org/officeDocument/2006/relationships/themeOverride" Target="../theme/themeOverride8.xml"/><Relationship Id="rId1" Type="http://schemas.openxmlformats.org/officeDocument/2006/relationships/package" Target="../embeddings/Workbook8.xlsx"/></Relationships>
</file>

<file path=word/charts/_rels/chart21.xml.rels><?xml version="1.0" encoding="UTF-8" standalone="yes"?>
<Relationships xmlns="http://schemas.openxmlformats.org/package/2006/relationships"><Relationship Id="rId2" Type="http://schemas.openxmlformats.org/officeDocument/2006/relationships/themeOverride" Target="../theme/themeOverride35.xml"/><Relationship Id="rId1" Type="http://schemas.openxmlformats.org/officeDocument/2006/relationships/package" Target="../embeddings/Workbook44.xlsx"/></Relationships>
</file>

<file path=word/charts/_rels/chart22.xml.rels><?xml version="1.0" encoding="UTF-8" standalone="yes"?>
<Relationships xmlns="http://schemas.openxmlformats.org/package/2006/relationships"><Relationship Id="rId2" Type="http://schemas.openxmlformats.org/officeDocument/2006/relationships/themeOverride" Target="../theme/themeOverride37.xml"/><Relationship Id="rId1" Type="http://schemas.openxmlformats.org/officeDocument/2006/relationships/package" Target="../embeddings/Workbook47.xlsx"/></Relationships>
</file>

<file path=word/charts/_rels/chart23.xml.rels><?xml version="1.0" encoding="UTF-8" standalone="yes"?>
<Relationships xmlns="http://schemas.openxmlformats.org/package/2006/relationships"><Relationship Id="rId2" Type="http://schemas.openxmlformats.org/officeDocument/2006/relationships/themeOverride" Target="../theme/themeOverride33.xml"/><Relationship Id="rId1" Type="http://schemas.openxmlformats.org/officeDocument/2006/relationships/package" Target="../embeddings/Workbook41.xlsx"/></Relationships>
</file>

<file path=word/charts/_rels/chart24.xml.rels><?xml version="1.0" encoding="UTF-8" standalone="yes"?>
<Relationships xmlns="http://schemas.openxmlformats.org/package/2006/relationships"><Relationship Id="rId2" Type="http://schemas.openxmlformats.org/officeDocument/2006/relationships/themeOverride" Target="../theme/themeOverride25.xml"/><Relationship Id="rId1" Type="http://schemas.openxmlformats.org/officeDocument/2006/relationships/package" Target="../embeddings/Workbook31.xlsx"/></Relationships>
</file>

<file path=word/charts/_rels/chart25.xml.rels><?xml version="1.0" encoding="UTF-8" standalone="yes"?>
<Relationships xmlns="http://schemas.openxmlformats.org/package/2006/relationships"><Relationship Id="rId1" Type="http://schemas.openxmlformats.org/officeDocument/2006/relationships/package" Target="../embeddings/Workbook43.xlsx"/></Relationships>
</file>

<file path=word/charts/_rels/chart2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24037;&#20316;&#31807;1" TargetMode="External"/></Relationships>
</file>

<file path=word/charts/_rels/chart27.xml.rels><?xml version="1.0" encoding="UTF-8" standalone="yes"?>
<Relationships xmlns="http://schemas.openxmlformats.org/package/2006/relationships"><Relationship Id="rId1" Type="http://schemas.openxmlformats.org/officeDocument/2006/relationships/package" Target="../embeddings/Workbook45.xlsx"/></Relationships>
</file>

<file path=word/charts/_rels/chart28.xml.rels><?xml version="1.0" encoding="UTF-8" standalone="yes"?>
<Relationships xmlns="http://schemas.openxmlformats.org/package/2006/relationships"><Relationship Id="rId2" Type="http://schemas.openxmlformats.org/officeDocument/2006/relationships/themeOverride" Target="../theme/themeOverride27.xml"/><Relationship Id="rId1" Type="http://schemas.openxmlformats.org/officeDocument/2006/relationships/package" Target="../embeddings/Workbook33.xlsx"/></Relationships>
</file>

<file path=word/charts/_rels/chart29.xml.rels><?xml version="1.0" encoding="UTF-8" standalone="yes"?>
<Relationships xmlns="http://schemas.openxmlformats.org/package/2006/relationships"><Relationship Id="rId2" Type="http://schemas.openxmlformats.org/officeDocument/2006/relationships/themeOverride" Target="../theme/themeOverride28.xml"/><Relationship Id="rId1" Type="http://schemas.openxmlformats.org/officeDocument/2006/relationships/package" Target="../embeddings/Workbook34.xlsx"/></Relationships>
</file>

<file path=word/charts/_rels/chart30.xml.rels><?xml version="1.0" encoding="UTF-8" standalone="yes"?>
<Relationships xmlns="http://schemas.openxmlformats.org/package/2006/relationships"><Relationship Id="rId2" Type="http://schemas.openxmlformats.org/officeDocument/2006/relationships/themeOverride" Target="../theme/themeOverride36.xml"/><Relationship Id="rId1" Type="http://schemas.openxmlformats.org/officeDocument/2006/relationships/package" Target="../embeddings/Workbook46.xlsx"/></Relationships>
</file>

<file path=word/charts/_rels/chart31.xml.rels><?xml version="1.0" encoding="UTF-8" standalone="yes"?>
<Relationships xmlns="http://schemas.openxmlformats.org/package/2006/relationships"><Relationship Id="rId2" Type="http://schemas.openxmlformats.org/officeDocument/2006/relationships/themeOverride" Target="../theme/themeOverride34.xml"/><Relationship Id="rId1" Type="http://schemas.openxmlformats.org/officeDocument/2006/relationships/package" Target="../embeddings/Workbook42.xlsx"/></Relationships>
</file>

<file path=word/charts/_rels/chart32.xml.rels><?xml version="1.0" encoding="UTF-8" standalone="yes"?>
<Relationships xmlns="http://schemas.openxmlformats.org/package/2006/relationships"><Relationship Id="rId2" Type="http://schemas.openxmlformats.org/officeDocument/2006/relationships/themeOverride" Target="../theme/themeOverride26.xml"/><Relationship Id="rId1" Type="http://schemas.openxmlformats.org/officeDocument/2006/relationships/package" Target="../embeddings/Workbook32.xlsx"/></Relationships>
</file>

<file path=word/charts/_rels/chart33.xml.rels><?xml version="1.0" encoding="UTF-8" standalone="yes"?>
<Relationships xmlns="http://schemas.openxmlformats.org/package/2006/relationships"><Relationship Id="rId2" Type="http://schemas.openxmlformats.org/officeDocument/2006/relationships/themeOverride" Target="../theme/themeOverride29.xml"/><Relationship Id="rId1" Type="http://schemas.openxmlformats.org/officeDocument/2006/relationships/package" Target="../embeddings/Workbook35.xlsx"/></Relationships>
</file>

<file path=word/charts/_rels/chart34.xml.rels><?xml version="1.0" encoding="UTF-8" standalone="yes"?>
<Relationships xmlns="http://schemas.openxmlformats.org/package/2006/relationships"><Relationship Id="rId1" Type="http://schemas.openxmlformats.org/officeDocument/2006/relationships/package" Target="../embeddings/Workbook36.xlsx"/></Relationships>
</file>

<file path=word/charts/_rels/chart35.xml.rels><?xml version="1.0" encoding="UTF-8" standalone="yes"?>
<Relationships xmlns="http://schemas.openxmlformats.org/package/2006/relationships"><Relationship Id="rId1" Type="http://schemas.openxmlformats.org/officeDocument/2006/relationships/package" Target="../embeddings/Workbook37.xlsx"/></Relationships>
</file>

<file path=word/charts/_rels/chart36.xml.rels><?xml version="1.0" encoding="UTF-8" standalone="yes"?>
<Relationships xmlns="http://schemas.openxmlformats.org/package/2006/relationships"><Relationship Id="rId2" Type="http://schemas.openxmlformats.org/officeDocument/2006/relationships/themeOverride" Target="../theme/themeOverride30.xml"/><Relationship Id="rId1" Type="http://schemas.openxmlformats.org/officeDocument/2006/relationships/package" Target="../embeddings/Workbook38.xlsx"/></Relationships>
</file>

<file path=word/charts/_rels/chart37.xml.rels><?xml version="1.0" encoding="UTF-8" standalone="yes"?>
<Relationships xmlns="http://schemas.openxmlformats.org/package/2006/relationships"><Relationship Id="rId2" Type="http://schemas.openxmlformats.org/officeDocument/2006/relationships/themeOverride" Target="../theme/themeOverride31.xml"/><Relationship Id="rId1" Type="http://schemas.openxmlformats.org/officeDocument/2006/relationships/package" Target="../embeddings/Workbook39.xlsx"/></Relationships>
</file>

<file path=word/charts/_rels/chart38.xml.rels><?xml version="1.0" encoding="UTF-8" standalone="yes"?>
<Relationships xmlns="http://schemas.openxmlformats.org/package/2006/relationships"><Relationship Id="rId2" Type="http://schemas.openxmlformats.org/officeDocument/2006/relationships/themeOverride" Target="../theme/themeOverride32.xml"/><Relationship Id="rId1" Type="http://schemas.openxmlformats.org/officeDocument/2006/relationships/package" Target="../embeddings/Workbook40.xlsx"/></Relationships>
</file>

<file path=word/charts/_rels/chart39.xml.rels><?xml version="1.0" encoding="UTF-8" standalone="yes"?>
<Relationships xmlns="http://schemas.openxmlformats.org/package/2006/relationships"><Relationship Id="rId2" Type="http://schemas.openxmlformats.org/officeDocument/2006/relationships/themeOverride" Target="../theme/themeOverride38.xml"/><Relationship Id="rId1" Type="http://schemas.openxmlformats.org/officeDocument/2006/relationships/package" Target="../embeddings/Workbook48.xlsx"/></Relationships>
</file>

<file path=word/charts/_rels/chart40.xml.rels><?xml version="1.0" encoding="UTF-8" standalone="yes"?>
<Relationships xmlns="http://schemas.openxmlformats.org/package/2006/relationships"><Relationship Id="rId2" Type="http://schemas.openxmlformats.org/officeDocument/2006/relationships/themeOverride" Target="../theme/themeOverride39.xml"/><Relationship Id="rId1" Type="http://schemas.openxmlformats.org/officeDocument/2006/relationships/package" Target="../embeddings/Workbook49.xlsx"/></Relationships>
</file>

<file path=word/charts/_rels/chart41.xml.rels><?xml version="1.0" encoding="UTF-8" standalone="yes"?>
<Relationships xmlns="http://schemas.openxmlformats.org/package/2006/relationships"><Relationship Id="rId1" Type="http://schemas.openxmlformats.org/officeDocument/2006/relationships/package" Target="../embeddings/Workbook29.xlsx"/></Relationships>
</file>

<file path=word/charts/_rels/chart42.xml.rels><?xml version="1.0" encoding="UTF-8" standalone="yes"?>
<Relationships xmlns="http://schemas.openxmlformats.org/package/2006/relationships"><Relationship Id="rId1" Type="http://schemas.openxmlformats.org/officeDocument/2006/relationships/package" Target="../embeddings/Workbook28.xlsx"/></Relationships>
</file>

<file path=word/charts/_rels/chart43.xml.rels><?xml version="1.0" encoding="UTF-8" standalone="yes"?>
<Relationships xmlns="http://schemas.openxmlformats.org/package/2006/relationships"><Relationship Id="rId2" Type="http://schemas.openxmlformats.org/officeDocument/2006/relationships/themeOverride" Target="../theme/themeOverride24.xml"/><Relationship Id="rId1" Type="http://schemas.openxmlformats.org/officeDocument/2006/relationships/package" Target="../embeddings/Workbook30.xlsx"/></Relationships>
</file>

<file path=word/charts/_rels/chart44.xml.rels><?xml version="1.0" encoding="UTF-8" standalone="yes"?>
<Relationships xmlns="http://schemas.openxmlformats.org/package/2006/relationships"><Relationship Id="rId2" Type="http://schemas.openxmlformats.org/officeDocument/2006/relationships/themeOverride" Target="../theme/themeOverride19.xml"/><Relationship Id="rId1" Type="http://schemas.openxmlformats.org/officeDocument/2006/relationships/package" Target="../embeddings/Workbook23.xlsx"/></Relationships>
</file>

<file path=word/charts/_rels/chart45.xml.rels><?xml version="1.0" encoding="UTF-8" standalone="yes"?>
<Relationships xmlns="http://schemas.openxmlformats.org/package/2006/relationships"><Relationship Id="rId2" Type="http://schemas.openxmlformats.org/officeDocument/2006/relationships/themeOverride" Target="../theme/themeOverride21.xml"/><Relationship Id="rId1" Type="http://schemas.openxmlformats.org/officeDocument/2006/relationships/package" Target="../embeddings/Workbook25.xlsx"/></Relationships>
</file>

<file path=word/charts/_rels/chart46.xml.rels><?xml version="1.0" encoding="UTF-8" standalone="yes"?>
<Relationships xmlns="http://schemas.openxmlformats.org/package/2006/relationships"><Relationship Id="rId2" Type="http://schemas.openxmlformats.org/officeDocument/2006/relationships/themeOverride" Target="../theme/themeOverride23.xml"/><Relationship Id="rId1" Type="http://schemas.openxmlformats.org/officeDocument/2006/relationships/package" Target="../embeddings/Workbook27.xlsx"/></Relationships>
</file>

<file path=word/charts/_rels/chart47.xml.rels><?xml version="1.0" encoding="UTF-8" standalone="yes"?>
<Relationships xmlns="http://schemas.openxmlformats.org/package/2006/relationships"><Relationship Id="rId2" Type="http://schemas.openxmlformats.org/officeDocument/2006/relationships/themeOverride" Target="../theme/themeOverride22.xml"/><Relationship Id="rId1" Type="http://schemas.openxmlformats.org/officeDocument/2006/relationships/package" Target="../embeddings/Workbook26.xlsx"/></Relationships>
</file>

<file path=word/charts/_rels/chart48.xml.rels><?xml version="1.0" encoding="UTF-8" standalone="yes"?>
<Relationships xmlns="http://schemas.openxmlformats.org/package/2006/relationships"><Relationship Id="rId2" Type="http://schemas.openxmlformats.org/officeDocument/2006/relationships/themeOverride" Target="../theme/themeOverride20.xml"/><Relationship Id="rId1" Type="http://schemas.openxmlformats.org/officeDocument/2006/relationships/package" Target="../embeddings/Workbook24.xlsx"/></Relationships>
</file>

<file path=word/charts/_rels/chart49.xml.rels><?xml version="1.0" encoding="UTF-8" standalone="yes"?>
<Relationships xmlns="http://schemas.openxmlformats.org/package/2006/relationships"><Relationship Id="rId2" Type="http://schemas.openxmlformats.org/officeDocument/2006/relationships/themeOverride" Target="../theme/themeOverride16.xml"/><Relationship Id="rId1" Type="http://schemas.openxmlformats.org/officeDocument/2006/relationships/package" Target="../embeddings/Workbook19.xlsx"/></Relationships>
</file>

<file path=word/charts/_rels/chart50.xml.rels><?xml version="1.0" encoding="UTF-8" standalone="yes"?>
<Relationships xmlns="http://schemas.openxmlformats.org/package/2006/relationships"><Relationship Id="rId2" Type="http://schemas.openxmlformats.org/officeDocument/2006/relationships/themeOverride" Target="../theme/themeOverride15.xml"/><Relationship Id="rId1" Type="http://schemas.openxmlformats.org/officeDocument/2006/relationships/package" Target="../embeddings/Workbook17.xlsx"/></Relationships>
</file>

<file path=word/charts/_rels/chart51.xml.rels><?xml version="1.0" encoding="UTF-8" standalone="yes"?>
<Relationships xmlns="http://schemas.openxmlformats.org/package/2006/relationships"><Relationship Id="rId1" Type="http://schemas.openxmlformats.org/officeDocument/2006/relationships/package" Target="../embeddings/Workbook16.xlsx"/></Relationships>
</file>

<file path=word/charts/_rels/chart52.xml.rels><?xml version="1.0" encoding="UTF-8" standalone="yes"?>
<Relationships xmlns="http://schemas.openxmlformats.org/package/2006/relationships"><Relationship Id="rId1" Type="http://schemas.openxmlformats.org/officeDocument/2006/relationships/package" Target="../embeddings/Workbook15.xlsx"/></Relationships>
</file>

<file path=word/charts/_rels/chart53.xml.rels><?xml version="1.0" encoding="UTF-8" standalone="yes"?>
<Relationships xmlns="http://schemas.openxmlformats.org/package/2006/relationships"><Relationship Id="rId1" Type="http://schemas.openxmlformats.org/officeDocument/2006/relationships/package" Target="../embeddings/Workbook18.xlsx"/></Relationships>
</file>

<file path=word/charts/_rels/chart54.xml.rels><?xml version="1.0" encoding="UTF-8" standalone="yes"?>
<Relationships xmlns="http://schemas.openxmlformats.org/package/2006/relationships"><Relationship Id="rId2" Type="http://schemas.openxmlformats.org/officeDocument/2006/relationships/themeOverride" Target="../theme/themeOverride17.xml"/><Relationship Id="rId1" Type="http://schemas.openxmlformats.org/officeDocument/2006/relationships/package" Target="../embeddings/Workbook20.xlsx"/></Relationships>
</file>

<file path=word/charts/_rels/chart55.xml.rels><?xml version="1.0" encoding="UTF-8" standalone="yes"?>
<Relationships xmlns="http://schemas.openxmlformats.org/package/2006/relationships"><Relationship Id="rId1" Type="http://schemas.openxmlformats.org/officeDocument/2006/relationships/package" Target="../embeddings/Workbook21.xlsx"/></Relationships>
</file>

<file path=word/charts/_rels/chart56.xml.rels><?xml version="1.0" encoding="UTF-8" standalone="yes"?>
<Relationships xmlns="http://schemas.openxmlformats.org/package/2006/relationships"><Relationship Id="rId2" Type="http://schemas.openxmlformats.org/officeDocument/2006/relationships/themeOverride" Target="../theme/themeOverride18.xml"/><Relationship Id="rId1" Type="http://schemas.openxmlformats.org/officeDocument/2006/relationships/package" Target="../embeddings/Workbook2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252667054750452"/>
          <c:y val="0.231114018095981"/>
          <c:w val="0.956939244462147"/>
          <c:h val="0.526503148767746"/>
        </c:manualLayout>
      </c:layout>
      <c:barChart>
        <c:barDir val="col"/>
        <c:grouping val="clustered"/>
        <c:varyColors val="0"/>
        <c:ser>
          <c:idx val="0"/>
          <c:order val="0"/>
          <c:tx>
            <c:strRef>
              <c:f>Sheet1!$B$1</c:f>
              <c:strCache>
                <c:ptCount val="1"/>
                <c:pt idx="0">
                  <c:v>未成年网民规模</c:v>
                </c:pt>
              </c:strCache>
            </c:strRef>
          </c:tx>
          <c:spPr>
            <a:solidFill>
              <a:srgbClr val="5B9BD5"/>
            </a:solidFill>
            <a:ln w="12700" cap="flat" cmpd="sng" algn="ctr">
              <a:solidFill>
                <a:sysClr val="window" lastClr="FFFFFF"/>
              </a:solidFill>
              <a:prstDash val="solid"/>
              <a:round/>
            </a:ln>
            <a:effectLst>
              <a:outerShdw blurRad="40005" dist="20320" dir="5400000" algn="ctr" rotWithShape="0">
                <a:sysClr val="windowText" lastClr="000000">
                  <a:alpha val="38000"/>
                </a:sysClr>
              </a:outerShdw>
            </a:effectLst>
          </c:spPr>
          <c:invertIfNegative val="0"/>
          <c:dLbls>
            <c:spPr>
              <a:noFill/>
              <a:ln>
                <a:noFill/>
              </a:ln>
              <a:effectLst/>
            </c:spPr>
            <c:txPr>
              <a:bodyPr rot="0" spcFirstLastPara="0" vertOverflow="ellipsis" vert="horz" wrap="square" lIns="38100" tIns="19050" rIns="38100" bIns="19050" anchor="ctr" anchorCtr="1">
                <a:spAutoFit/>
              </a:bodyPr>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Sheet1!$A$2:$A$10</c:f>
              <c:strCache>
                <c:ptCount val="4"/>
                <c:pt idx="0">
                  <c:v>2018年</c:v>
                </c:pt>
                <c:pt idx="1" c:formatCode="@">
                  <c:v>2019年</c:v>
                </c:pt>
                <c:pt idx="2">
                  <c:v>2020年</c:v>
                </c:pt>
                <c:pt idx="3">
                  <c:v>2021年</c:v>
                </c:pt>
              </c:strCache>
            </c:strRef>
          </c:cat>
          <c:val>
            <c:numRef>
              <c:f>Sheet1!$B$2:$B$10</c:f>
              <c:numCache>
                <c:formatCode>General</c:formatCode>
                <c:ptCount val="4"/>
                <c:pt idx="0">
                  <c:v>16929</c:v>
                </c:pt>
                <c:pt idx="1" c:formatCode="0_);[Red]\(0\)">
                  <c:v>17513.7689813815</c:v>
                </c:pt>
                <c:pt idx="2" c:formatCode="0_);[Red]\(0\)">
                  <c:v>18280.933655968</c:v>
                </c:pt>
                <c:pt idx="3" c:formatCode="0_);[Red]\(0\)">
                  <c:v>19062.1365</c:v>
                </c:pt>
              </c:numCache>
            </c:numRef>
          </c:val>
        </c:ser>
        <c:dLbls>
          <c:showLegendKey val="0"/>
          <c:showVal val="1"/>
          <c:showCatName val="0"/>
          <c:showSerName val="0"/>
          <c:showPercent val="0"/>
          <c:showBubbleSize val="0"/>
        </c:dLbls>
        <c:gapWidth val="100"/>
        <c:axId val="383321408"/>
        <c:axId val="383316928"/>
      </c:barChart>
      <c:lineChart>
        <c:grouping val="standard"/>
        <c:varyColors val="0"/>
        <c:ser>
          <c:idx val="1"/>
          <c:order val="1"/>
          <c:tx>
            <c:strRef>
              <c:f>Sheet1!$C$1</c:f>
              <c:strCache>
                <c:ptCount val="1"/>
                <c:pt idx="0">
                  <c:v>未成年人互联网普及率</c:v>
                </c:pt>
              </c:strCache>
            </c:strRef>
          </c:tx>
          <c:spPr>
            <a:ln w="25400" cap="sq" cmpd="sng" algn="ctr">
              <a:solidFill>
                <a:srgbClr val="C00000"/>
              </a:solidFill>
              <a:prstDash val="solid"/>
              <a:miter lim="800000"/>
            </a:ln>
          </c:spPr>
          <c:marker>
            <c:symbol val="circle"/>
            <c:size val="5"/>
            <c:spPr>
              <a:solidFill>
                <a:srgbClr val="C00000"/>
              </a:solidFill>
              <a:ln w="12700" cap="flat" cmpd="sng" algn="ctr">
                <a:solidFill>
                  <a:srgbClr val="C00000"/>
                </a:solidFill>
                <a:prstDash val="solid"/>
                <a:round/>
              </a:ln>
            </c:spPr>
          </c:marker>
          <c:dLbls>
            <c:dLbl>
              <c:idx val="2"/>
              <c:layout>
                <c:manualLayout>
                  <c:x val="-0.05190280991259"/>
                  <c:y val="-0.0379579704854774"/>
                </c:manualLayout>
              </c:layout>
              <c:dLblPos val="r"/>
              <c:showLegendKey val="0"/>
              <c:showVal val="1"/>
              <c:showCatName val="0"/>
              <c:showSerName val="0"/>
              <c:showPercent val="0"/>
              <c:showBubbleSize val="0"/>
              <c:extLst>
                <c:ext xmlns:c15="http://schemas.microsoft.com/office/drawing/2012/chart" uri="{CE6537A1-D6FC-4f65-9D91-7224C49458BB}">
                  <c15:layout/>
                </c:ext>
              </c:extLst>
            </c:dLbl>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rgbClr val="C00000"/>
                    </a:solidFill>
                    <a:latin typeface="Arial" panose="020B0604020202020204" pitchFamily="2" charset="0"/>
                    <a:ea typeface="+mn-ea"/>
                    <a:cs typeface="Arial" panose="020B0604020202020204" pitchFamily="2"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Sheet1!$A$2:$A$10</c:f>
              <c:strCache>
                <c:ptCount val="4"/>
                <c:pt idx="0">
                  <c:v>2018年</c:v>
                </c:pt>
                <c:pt idx="1" c:formatCode="@">
                  <c:v>2019年</c:v>
                </c:pt>
                <c:pt idx="2">
                  <c:v>2020年</c:v>
                </c:pt>
                <c:pt idx="3">
                  <c:v>2021年</c:v>
                </c:pt>
              </c:strCache>
            </c:strRef>
          </c:cat>
          <c:val>
            <c:numRef>
              <c:f>Sheet1!$C$2:$C$10</c:f>
              <c:numCache>
                <c:formatCode>0.0%</c:formatCode>
                <c:ptCount val="4"/>
                <c:pt idx="0">
                  <c:v>0.937</c:v>
                </c:pt>
                <c:pt idx="1">
                  <c:v>0.931120432057783</c:v>
                </c:pt>
                <c:pt idx="2">
                  <c:v>0.948560000473218</c:v>
                </c:pt>
                <c:pt idx="3">
                  <c:v>0.96837867970341</c:v>
                </c:pt>
              </c:numCache>
            </c:numRef>
          </c:val>
          <c:smooth val="0"/>
        </c:ser>
        <c:dLbls>
          <c:showLegendKey val="0"/>
          <c:showVal val="1"/>
          <c:showCatName val="0"/>
          <c:showSerName val="0"/>
          <c:showPercent val="0"/>
          <c:showBubbleSize val="0"/>
        </c:dLbls>
        <c:marker val="1"/>
        <c:smooth val="0"/>
        <c:axId val="383311328"/>
        <c:axId val="383311888"/>
      </c:lineChart>
      <c:catAx>
        <c:axId val="383321408"/>
        <c:scaling>
          <c:orientation val="minMax"/>
        </c:scaling>
        <c:delete val="0"/>
        <c:axPos val="b"/>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383316928"/>
        <c:crosses val="autoZero"/>
        <c:auto val="1"/>
        <c:lblAlgn val="ctr"/>
        <c:lblOffset val="100"/>
        <c:noMultiLvlLbl val="0"/>
      </c:catAx>
      <c:valAx>
        <c:axId val="383316928"/>
        <c:scaling>
          <c:orientation val="minMax"/>
          <c:max val="28000"/>
          <c:min val="0"/>
        </c:scaling>
        <c:delete val="0"/>
        <c:axPos val="l"/>
        <c:numFmt formatCode="#,##0.00_);[Red]\(#,##0.00\)" sourceLinked="0"/>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383321408"/>
        <c:crosses val="autoZero"/>
        <c:crossBetween val="between"/>
        <c:majorUnit val="25000"/>
      </c:valAx>
      <c:catAx>
        <c:axId val="383311328"/>
        <c:scaling>
          <c:orientation val="minMax"/>
        </c:scaling>
        <c:delete val="1"/>
        <c:axPos val="b"/>
        <c:numFmt formatCode="General" sourceLinked="1"/>
        <c:majorTickMark val="out"/>
        <c:minorTickMark val="none"/>
        <c:tickLblPos val="none"/>
        <c:txPr>
          <a:bodyPr rot="-60000000" spcFirstLastPara="0" vertOverflow="ellipsis" vert="horz" wrap="square" anchor="ctr" anchorCtr="1"/>
          <a:lstStyle/>
          <a:p>
            <a:pPr>
              <a:defRPr lang="zh-CN" sz="900" b="0" i="0" u="none" strike="noStrike" kern="1200" baseline="0">
                <a:solidFill>
                  <a:schemeClr val="tx1"/>
                </a:solidFill>
                <a:latin typeface="Arial" panose="020B0604020202020204" pitchFamily="2" charset="0"/>
                <a:ea typeface="+mn-ea"/>
                <a:cs typeface="Arial" panose="020B0604020202020204" pitchFamily="2" charset="0"/>
              </a:defRPr>
            </a:pPr>
          </a:p>
        </c:txPr>
        <c:crossAx val="383311888"/>
        <c:crosses val="autoZero"/>
        <c:auto val="1"/>
        <c:lblAlgn val="ctr"/>
        <c:lblOffset val="100"/>
        <c:noMultiLvlLbl val="0"/>
      </c:catAx>
      <c:valAx>
        <c:axId val="383311888"/>
        <c:scaling>
          <c:orientation val="minMax"/>
          <c:min val="0"/>
        </c:scaling>
        <c:delete val="0"/>
        <c:axPos val="r"/>
        <c:numFmt formatCode="0%" sourceLinked="0"/>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crossAx val="383311328"/>
        <c:crosses val="max"/>
        <c:crossBetween val="between"/>
        <c:majorUnit val="0.1"/>
      </c:valAx>
      <c:spPr>
        <a:noFill/>
        <a:ln w="12700">
          <a:noFill/>
        </a:ln>
      </c:spPr>
    </c:plotArea>
    <c:legend>
      <c:legendPos val="b"/>
      <c:layout>
        <c:manualLayout>
          <c:xMode val="edge"/>
          <c:yMode val="edge"/>
          <c:x val="0.173293751401122"/>
          <c:y val="0.856867427995342"/>
          <c:w val="0.633431864456919"/>
          <c:h val="0.0658278145695364"/>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Arial" panose="020B0604020202020204" pitchFamily="2" charset="0"/>
            </a:defRPr>
          </a:pPr>
        </a:p>
      </c:txPr>
    </c:legend>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[Workbook1.xlsx]Sheet1!$B$16</c:f>
              <c:strCache>
                <c:ptCount val="1"/>
                <c:pt idx="0">
                  <c:v>城镇</c:v>
                </c:pt>
              </c:strCache>
            </c:strRef>
          </c:tx>
          <c:spPr>
            <a:ln w="28575" cap="rnd">
              <a:solidFill>
                <a:srgbClr val="558ED5"/>
              </a:solidFill>
              <a:round/>
            </a:ln>
            <a:effectLst/>
          </c:spPr>
          <c:marker>
            <c:symbol val="square"/>
            <c:size val="5"/>
            <c:spPr>
              <a:solidFill>
                <a:srgbClr val="558ED5"/>
              </a:solidFill>
              <a:ln w="9525">
                <a:solidFill>
                  <a:schemeClr val="accent1"/>
                </a:solidFill>
              </a:ln>
              <a:effectLst/>
            </c:spPr>
          </c:marker>
          <c:dLbls>
            <c:dLbl>
              <c:idx val="3"/>
              <c:layout>
                <c:manualLayout>
                  <c:x val="-0.0245695538057743"/>
                  <c:y val="0.0481598133566637"/>
                </c:manualLayout>
              </c:layout>
              <c:dLblPos val="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[Workbook1.xlsx]Sheet1!$A$17:$A$20</c:f>
              <c:strCache>
                <c:ptCount val="4"/>
                <c:pt idx="0">
                  <c:v>2018年</c:v>
                </c:pt>
                <c:pt idx="1">
                  <c:v>2019年</c:v>
                </c:pt>
                <c:pt idx="2">
                  <c:v>2020年</c:v>
                </c:pt>
                <c:pt idx="3">
                  <c:v>2021年</c:v>
                </c:pt>
              </c:strCache>
            </c:strRef>
          </c:cat>
          <c:val>
            <c:numRef>
              <c:f>[Workbook1.xlsx]Sheet1!$B$17:$B$20</c:f>
              <c:numCache>
                <c:formatCode>0.0%</c:formatCode>
                <c:ptCount val="4"/>
                <c:pt idx="0">
                  <c:v>0.951</c:v>
                </c:pt>
                <c:pt idx="1">
                  <c:v>0.939</c:v>
                </c:pt>
                <c:pt idx="2">
                  <c:v>0.95</c:v>
                </c:pt>
                <c:pt idx="3">
                  <c:v>0.967</c:v>
                </c:pt>
              </c:numCache>
            </c:numRef>
          </c:val>
          <c:smooth val="0"/>
        </c:ser>
        <c:ser>
          <c:idx val="1"/>
          <c:order val="1"/>
          <c:tx>
            <c:strRef>
              <c:f>[Workbook1.xlsx]Sheet1!$C$16</c:f>
              <c:strCache>
                <c:ptCount val="1"/>
                <c:pt idx="0">
                  <c:v>农村</c:v>
                </c:pt>
              </c:strCache>
            </c:strRef>
          </c:tx>
          <c:spPr>
            <a:ln w="28575" cap="rnd">
              <a:solidFill>
                <a:srgbClr val="EA3838"/>
              </a:solidFill>
              <a:round/>
            </a:ln>
            <a:effectLst/>
          </c:spPr>
          <c:marker>
            <c:symbol val="square"/>
            <c:size val="5"/>
            <c:spPr>
              <a:solidFill>
                <a:srgbClr val="EA3838"/>
              </a:solidFill>
              <a:ln w="9525">
                <a:solidFill>
                  <a:srgbClr val="EA3838"/>
                </a:solidFill>
              </a:ln>
              <a:effectLst/>
            </c:spPr>
          </c:marker>
          <c:dLbls>
            <c:dLbl>
              <c:idx val="3"/>
              <c:layout>
                <c:manualLayout>
                  <c:x val="-0.0384584426946632"/>
                  <c:y val="-0.0342705599300087"/>
                </c:manualLayout>
              </c:layout>
              <c:dLblPos val="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b"/>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[Workbook1.xlsx]Sheet1!$A$17:$A$20</c:f>
              <c:strCache>
                <c:ptCount val="4"/>
                <c:pt idx="0">
                  <c:v>2018年</c:v>
                </c:pt>
                <c:pt idx="1">
                  <c:v>2019年</c:v>
                </c:pt>
                <c:pt idx="2">
                  <c:v>2020年</c:v>
                </c:pt>
                <c:pt idx="3">
                  <c:v>2021年</c:v>
                </c:pt>
              </c:strCache>
            </c:strRef>
          </c:cat>
          <c:val>
            <c:numRef>
              <c:f>[Workbook1.xlsx]Sheet1!$C$17:$C$20</c:f>
              <c:numCache>
                <c:formatCode>0.0%</c:formatCode>
                <c:ptCount val="4"/>
                <c:pt idx="0">
                  <c:v>0.897</c:v>
                </c:pt>
                <c:pt idx="1">
                  <c:v>0.903</c:v>
                </c:pt>
                <c:pt idx="2">
                  <c:v>0.947</c:v>
                </c:pt>
                <c:pt idx="3">
                  <c:v>0.973</c:v>
                </c:pt>
              </c:numCache>
            </c:numRef>
          </c:val>
          <c:smooth val="0"/>
        </c:ser>
        <c:dLbls>
          <c:showLegendKey val="0"/>
          <c:showVal val="0"/>
          <c:showCatName val="0"/>
          <c:showSerName val="0"/>
          <c:showPercent val="0"/>
          <c:showBubbleSize val="0"/>
        </c:dLbls>
        <c:marker val="1"/>
        <c:smooth val="0"/>
        <c:axId val="72236351"/>
        <c:axId val="51484593"/>
      </c:lineChart>
      <c:catAx>
        <c:axId val="72236351"/>
        <c:scaling>
          <c:orientation val="minMax"/>
        </c:scaling>
        <c:delete val="0"/>
        <c:axPos val="b"/>
        <c:numFmt formatCode="General" sourceLinked="0"/>
        <c:majorTickMark val="in"/>
        <c:minorTickMark val="none"/>
        <c:tickLblPos val="nextTo"/>
        <c:spPr>
          <a:noFill/>
          <a:ln w="9525" cap="flat" cmpd="sng" algn="ctr">
            <a:solidFill>
              <a:schemeClr val="bg1">
                <a:lumMod val="65000"/>
              </a:schemeClr>
            </a:solidFill>
            <a:round/>
          </a:ln>
          <a:effectLst/>
        </c:spPr>
        <c:txPr>
          <a:bodyPr rot="-60000000" spcFirstLastPara="0"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p>
        </c:txPr>
        <c:crossAx val="51484593"/>
        <c:crosses val="autoZero"/>
        <c:auto val="1"/>
        <c:lblAlgn val="ctr"/>
        <c:lblOffset val="100"/>
        <c:noMultiLvlLbl val="0"/>
      </c:catAx>
      <c:valAx>
        <c:axId val="51484593"/>
        <c:scaling>
          <c:orientation val="minMax"/>
          <c:max val="1"/>
          <c:min val="0.85"/>
        </c:scaling>
        <c:delete val="0"/>
        <c:axPos val="l"/>
        <c:majorGridlines>
          <c:spPr>
            <a:ln w="12700" cap="flat" cmpd="sng" algn="ctr">
              <a:solidFill>
                <a:schemeClr val="bg1">
                  <a:lumMod val="85000"/>
                </a:schemeClr>
              </a:solidFill>
              <a:prstDash val="dash"/>
              <a:round/>
            </a:ln>
            <a:effectLst/>
          </c:spPr>
        </c:majorGridlines>
        <c:numFmt formatCode="0%" sourceLinked="0"/>
        <c:majorTickMark val="out"/>
        <c:minorTickMark val="none"/>
        <c:tickLblPos val="nextTo"/>
        <c:spPr>
          <a:noFill/>
          <a:ln>
            <a:noFill/>
          </a:ln>
          <a:effectLst/>
        </c:spPr>
        <c:txPr>
          <a:bodyPr rot="-60000000" spcFirstLastPara="0" vertOverflow="ellipsis" vert="horz" wrap="square"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crossAx val="72236351"/>
        <c:crosses val="autoZero"/>
        <c:crossBetween val="between"/>
        <c:majorUnit val="0.05"/>
      </c:valAx>
      <c:spPr>
        <a:noFill/>
        <a:ln>
          <a:noFill/>
        </a:ln>
        <a:effectLst/>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黑体" panose="02010609060101010101" charset="-122"/>
                <a:sym typeface="黑体" panose="02010609060101010101" charset="-122"/>
              </a:defRPr>
            </a:pPr>
          </a:p>
        </c:txPr>
      </c:legendEntry>
      <c:legendEntry>
        <c:idx val="1"/>
        <c:txPr>
          <a:bodyPr rot="0" spcFirstLastPara="0"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黑体" panose="02010609060101010101" charset="-122"/>
                <a:sym typeface="黑体" panose="02010609060101010101" charset="-122"/>
              </a:defRPr>
            </a:pPr>
          </a:p>
        </c:txPr>
      </c:legendEntry>
      <c:layout>
        <c:manualLayout>
          <c:xMode val="edge"/>
          <c:yMode val="edge"/>
          <c:x val="0.279444444444444"/>
          <c:y val="0.894096675415573"/>
          <c:w val="0.443888888888889"/>
          <c:h val="0.0781255468066492"/>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黑体" panose="02010609060101010101" charset="-122"/>
              <a:sym typeface="黑体" panose="02010609060101010101" charset="-122"/>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'[未成年调查补充交叉数据-0923.xlsx]Sheet1'!$C$2</c:f>
              <c:strCache>
                <c:ptCount val="1"/>
                <c:pt idx="0">
                  <c:v>城镇</c:v>
                </c:pt>
              </c:strCache>
            </c:strRef>
          </c:tx>
          <c:spPr>
            <a:solidFill>
              <a:srgbClr val="558ED5"/>
            </a:solidFill>
            <a:ln>
              <a:solidFill>
                <a:schemeClr val="bg1"/>
              </a:solidFill>
            </a:ln>
            <a:effectLst>
              <a:outerShdw blurRad="38100" dist="12700" dir="2700000" algn="ctr" rotWithShape="0">
                <a:prstClr val="black">
                  <a:alpha val="40000"/>
                </a:prst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mn-ea"/>
                    <a:ea typeface="+mn-ea"/>
                    <a:cs typeface="+mn-ea"/>
                    <a:sym typeface="+mn-ea"/>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'[未成年调查补充交叉数据-0923.xlsx]Sheet1'!$B$3:$B$6</c:f>
              <c:strCache>
                <c:ptCount val="4"/>
                <c:pt idx="0">
                  <c:v>小学</c:v>
                </c:pt>
                <c:pt idx="1">
                  <c:v>初中</c:v>
                </c:pt>
                <c:pt idx="2">
                  <c:v>高中</c:v>
                </c:pt>
                <c:pt idx="3">
                  <c:v>中等职业教育</c:v>
                </c:pt>
              </c:strCache>
            </c:strRef>
          </c:cat>
          <c:val>
            <c:numRef>
              <c:f>'[未成年调查补充交叉数据-0923.xlsx]Sheet1'!$C$3:$C$6</c:f>
              <c:numCache>
                <c:formatCode>0.0%</c:formatCode>
                <c:ptCount val="4"/>
                <c:pt idx="0">
                  <c:v>0.951379144278478</c:v>
                </c:pt>
                <c:pt idx="1">
                  <c:v>0.993516707103582</c:v>
                </c:pt>
                <c:pt idx="2">
                  <c:v>0.977204110983019</c:v>
                </c:pt>
                <c:pt idx="3">
                  <c:v>0.987078572724139</c:v>
                </c:pt>
              </c:numCache>
            </c:numRef>
          </c:val>
        </c:ser>
        <c:ser>
          <c:idx val="1"/>
          <c:order val="1"/>
          <c:tx>
            <c:strRef>
              <c:f>'[未成年调查补充交叉数据-0923.xlsx]Sheet1'!$D$2</c:f>
              <c:strCache>
                <c:ptCount val="1"/>
                <c:pt idx="0">
                  <c:v>农村</c:v>
                </c:pt>
              </c:strCache>
            </c:strRef>
          </c:tx>
          <c:spPr>
            <a:solidFill>
              <a:srgbClr val="EA3838"/>
            </a:solidFill>
            <a:ln>
              <a:solidFill>
                <a:schemeClr val="bg1"/>
              </a:solidFill>
            </a:ln>
            <a:effectLst>
              <a:outerShdw blurRad="38100" dist="12700" dir="2700000" algn="ctr" rotWithShape="0">
                <a:prstClr val="black">
                  <a:alpha val="40000"/>
                </a:prst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mn-ea"/>
                    <a:ea typeface="+mn-ea"/>
                    <a:cs typeface="+mn-ea"/>
                    <a:sym typeface="+mn-ea"/>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'[未成年调查补充交叉数据-0923.xlsx]Sheet1'!$B$3:$B$6</c:f>
              <c:strCache>
                <c:ptCount val="4"/>
                <c:pt idx="0">
                  <c:v>小学</c:v>
                </c:pt>
                <c:pt idx="1">
                  <c:v>初中</c:v>
                </c:pt>
                <c:pt idx="2">
                  <c:v>高中</c:v>
                </c:pt>
                <c:pt idx="3">
                  <c:v>中等职业教育</c:v>
                </c:pt>
              </c:strCache>
            </c:strRef>
          </c:cat>
          <c:val>
            <c:numRef>
              <c:f>'[未成年调查补充交叉数据-0923.xlsx]Sheet1'!$D$3:$D$6</c:f>
              <c:numCache>
                <c:formatCode>0.0%</c:formatCode>
                <c:ptCount val="4"/>
                <c:pt idx="0">
                  <c:v>0.943314520526236</c:v>
                </c:pt>
                <c:pt idx="1">
                  <c:v>0.99521488099141</c:v>
                </c:pt>
                <c:pt idx="2">
                  <c:v>0.991846216663994</c:v>
                </c:pt>
                <c:pt idx="3">
                  <c:v>0.991659294640414</c:v>
                </c:pt>
              </c:numCache>
            </c:numRef>
          </c:val>
        </c:ser>
        <c:dLbls>
          <c:showLegendKey val="0"/>
          <c:showVal val="1"/>
          <c:showCatName val="0"/>
          <c:showSerName val="0"/>
          <c:showPercent val="0"/>
          <c:showBubbleSize val="0"/>
        </c:dLbls>
        <c:gapWidth val="219"/>
        <c:overlap val="-27"/>
        <c:axId val="158562062"/>
        <c:axId val="731613488"/>
      </c:barChart>
      <c:catAx>
        <c:axId val="158562062"/>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黑体" panose="02010609060101010101" charset="-122"/>
                <a:sym typeface="黑体" panose="02010609060101010101" charset="-122"/>
              </a:defRPr>
            </a:pPr>
          </a:p>
        </c:txPr>
        <c:crossAx val="731613488"/>
        <c:crosses val="autoZero"/>
        <c:auto val="1"/>
        <c:lblAlgn val="ctr"/>
        <c:lblOffset val="100"/>
        <c:noMultiLvlLbl val="0"/>
      </c:catAx>
      <c:valAx>
        <c:axId val="73161348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ysClr val="windowText" lastClr="000000"/>
                </a:solidFill>
                <a:latin typeface="+mn-ea"/>
                <a:ea typeface="+mn-ea"/>
                <a:cs typeface="+mn-ea"/>
                <a:sym typeface="+mn-ea"/>
              </a:defRPr>
            </a:pPr>
          </a:p>
        </c:txPr>
        <c:crossAx val="158562062"/>
        <c:crosses val="autoZero"/>
        <c:crossBetween val="between"/>
      </c:valAx>
      <c:spPr>
        <a:noFill/>
        <a:ln>
          <a:noFill/>
        </a:ln>
        <a:effectLst/>
      </c:spPr>
    </c:plotArea>
    <c:legend>
      <c:legendPos val="b"/>
      <c:legendEntry>
        <c:idx val="0"/>
        <c:txPr>
          <a:bodyPr rot="0" spcFirstLastPara="0"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黑体" panose="02010609060101010101" charset="-122"/>
                <a:sym typeface="黑体" panose="02010609060101010101" charset="-122"/>
              </a:defRPr>
            </a:pPr>
          </a:p>
        </c:txPr>
      </c:legendEntry>
      <c:legendEntry>
        <c:idx val="1"/>
        <c:txPr>
          <a:bodyPr rot="0" spcFirstLastPara="0"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黑体" panose="02010609060101010101" charset="-122"/>
                <a:sym typeface="黑体" panose="02010609060101010101" charset="-122"/>
              </a:defRPr>
            </a:pPr>
          </a:p>
        </c:txPr>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黑体" panose="02010609060101010101" charset="-122"/>
              <a:sym typeface="黑体" panose="02010609060101010101" charset="-122"/>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804062972052012"/>
          <c:y val="0.121279842559685"/>
          <c:w val="0.884620925925926"/>
          <c:h val="0.725737851475703"/>
        </c:manualLayout>
      </c:layout>
      <c:barChart>
        <c:barDir val="col"/>
        <c:grouping val="clustered"/>
        <c:varyColors val="0"/>
        <c:ser>
          <c:idx val="0"/>
          <c:order val="0"/>
          <c:tx>
            <c:strRef>
              <c:f>Sheet1!$B$1</c:f>
              <c:strCache>
                <c:ptCount val="1"/>
                <c:pt idx="0">
                  <c:v>2020年</c:v>
                </c:pt>
              </c:strCache>
            </c:strRef>
          </c:tx>
          <c:spPr>
            <a:solidFill>
              <a:srgbClr val="1F497D">
                <a:lumMod val="60000"/>
                <a:lumOff val="40000"/>
              </a:srgbClr>
            </a:solidFill>
            <a:ln w="12700" cap="flat" cmpd="sng" algn="ctr">
              <a:solidFill>
                <a:schemeClr val="lt1">
                  <a:shade val="95000"/>
                  <a:satMod val="105000"/>
                </a:schemeClr>
              </a:solidFill>
              <a:prstDash val="solid"/>
              <a:round/>
            </a:ln>
          </c:spPr>
          <c:invertIfNegative val="0"/>
          <c:dLbls>
            <c:dLbl>
              <c:idx val="1"/>
              <c:layout>
                <c:manualLayout>
                  <c:x val="-0.00195580714934534"/>
                  <c:y val="0.0045351473922902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430747303814557"/>
                  <c:y val="0.013010159444355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9.34767191716955e-17"/>
                  <c:y val="0.0045351473922902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4"/>
                <c:pt idx="0">
                  <c:v>小学</c:v>
                </c:pt>
                <c:pt idx="1">
                  <c:v>初中</c:v>
                </c:pt>
                <c:pt idx="2">
                  <c:v>高中</c:v>
                </c:pt>
                <c:pt idx="3">
                  <c:v>中等职业教育</c:v>
                </c:pt>
              </c:strCache>
            </c:strRef>
          </c:cat>
          <c:val>
            <c:numRef>
              <c:f>Sheet1!$B$2:$B$5</c:f>
              <c:numCache>
                <c:formatCode>0.0%</c:formatCode>
                <c:ptCount val="4"/>
                <c:pt idx="0">
                  <c:v>0.920506089829219</c:v>
                </c:pt>
                <c:pt idx="1">
                  <c:v>0.981178043892865</c:v>
                </c:pt>
                <c:pt idx="2">
                  <c:v>0.982742029600924</c:v>
                </c:pt>
                <c:pt idx="3">
                  <c:v>0.986873503578128</c:v>
                </c:pt>
              </c:numCache>
            </c:numRef>
          </c:val>
        </c:ser>
        <c:ser>
          <c:idx val="1"/>
          <c:order val="1"/>
          <c:tx>
            <c:strRef>
              <c:f>Sheet1!$C$1</c:f>
              <c:strCache>
                <c:ptCount val="1"/>
                <c:pt idx="0">
                  <c:v>2021年</c:v>
                </c:pt>
              </c:strCache>
            </c:strRef>
          </c:tx>
          <c:spPr>
            <a:solidFill>
              <a:srgbClr val="FF0000">
                <a:alpha val="70000"/>
              </a:srgbClr>
            </a:solidFill>
            <a:ln w="12700" cap="flat" cmpd="sng" algn="ctr">
              <a:solidFill>
                <a:schemeClr val="lt1">
                  <a:shade val="95000"/>
                  <a:satMod val="105000"/>
                </a:schemeClr>
              </a:solidFill>
              <a:prstDash val="solid"/>
              <a:round/>
            </a:ln>
          </c:spPr>
          <c:invertIfNegative val="0"/>
          <c:dLbls>
            <c:dLbl>
              <c:idx val="0"/>
              <c:layout>
                <c:manualLayout>
                  <c:x val="-0.00138490336891447"/>
                  <c:y val="-0.0042376845751424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0783888629600076"/>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0981416519875836"/>
                  <c:y val="0.0045351473922902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351776295649469"/>
                  <c:y val="0.0057249986608816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0.0%" sourceLinked="0"/>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4"/>
                <c:pt idx="0">
                  <c:v>小学</c:v>
                </c:pt>
                <c:pt idx="1">
                  <c:v>初中</c:v>
                </c:pt>
                <c:pt idx="2">
                  <c:v>高中</c:v>
                </c:pt>
                <c:pt idx="3">
                  <c:v>中等职业教育</c:v>
                </c:pt>
              </c:strCache>
            </c:strRef>
          </c:cat>
          <c:val>
            <c:numRef>
              <c:f>Sheet1!$C$2:$C$5</c:f>
              <c:numCache>
                <c:formatCode>0.0%</c:formatCode>
                <c:ptCount val="4"/>
                <c:pt idx="0">
                  <c:v>0.950310802415385</c:v>
                </c:pt>
                <c:pt idx="1">
                  <c:v>0.99393419851428</c:v>
                </c:pt>
                <c:pt idx="2">
                  <c:v>0.98379689170624</c:v>
                </c:pt>
                <c:pt idx="3">
                  <c:v>0.987558671777808</c:v>
                </c:pt>
              </c:numCache>
            </c:numRef>
          </c:val>
        </c:ser>
        <c:dLbls>
          <c:showLegendKey val="0"/>
          <c:showVal val="0"/>
          <c:showCatName val="0"/>
          <c:showSerName val="0"/>
          <c:showPercent val="0"/>
          <c:showBubbleSize val="0"/>
        </c:dLbls>
        <c:gapWidth val="100"/>
        <c:overlap val="-20"/>
        <c:axId val="401672064"/>
        <c:axId val="401673600"/>
      </c:barChart>
      <c:catAx>
        <c:axId val="401672064"/>
        <c:scaling>
          <c:orientation val="minMax"/>
        </c:scaling>
        <c:delete val="0"/>
        <c:axPos val="b"/>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01673600"/>
        <c:crosses val="autoZero"/>
        <c:auto val="1"/>
        <c:lblAlgn val="ctr"/>
        <c:lblOffset val="100"/>
        <c:noMultiLvlLbl val="0"/>
      </c:catAx>
      <c:valAx>
        <c:axId val="401673600"/>
        <c:scaling>
          <c:orientation val="minMax"/>
          <c:max val="1"/>
          <c:min val="0"/>
        </c:scaling>
        <c:delete val="0"/>
        <c:axPos val="l"/>
        <c:majorGridlines>
          <c:spPr>
            <a:ln w="9525" cap="flat" cmpd="sng" algn="ctr">
              <a:solidFill>
                <a:sysClr val="window" lastClr="FFFFFF">
                  <a:lumMod val="85000"/>
                </a:sysClr>
              </a:solidFill>
              <a:prstDash val="dash"/>
              <a:round/>
            </a:ln>
          </c:spPr>
        </c:majorGridlines>
        <c:numFmt formatCode="0%" sourceLinked="0"/>
        <c:majorTickMark val="in"/>
        <c:minorTickMark val="none"/>
        <c:tickLblPos val="nextTo"/>
        <c:spPr>
          <a:ln w="9525"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01672064"/>
        <c:crosses val="autoZero"/>
        <c:crossBetween val="between"/>
        <c:majorUnit val="0.2"/>
      </c:valAx>
      <c:spPr>
        <a:noFill/>
        <a:ln w="12700">
          <a:noFill/>
        </a:ln>
      </c:spPr>
    </c:plotArea>
    <c:legend>
      <c:legendPos val="b"/>
      <c:layout>
        <c:manualLayout>
          <c:xMode val="edge"/>
          <c:yMode val="edge"/>
          <c:x val="0.173915880017866"/>
          <c:y val="0.920201840403681"/>
          <c:w val="0.648769917144712"/>
          <c:h val="0.0676190476190476"/>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Arial" panose="020B0604020202020204" pitchFamily="2" charset="0"/>
            </a:defRPr>
          </a:pPr>
        </a:p>
      </c:txPr>
    </c:legend>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753075081675976"/>
          <c:y val="0.092082061170925"/>
          <c:w val="0.884620925925926"/>
          <c:h val="0.727356223329227"/>
        </c:manualLayout>
      </c:layout>
      <c:barChart>
        <c:barDir val="col"/>
        <c:grouping val="clustered"/>
        <c:varyColors val="0"/>
        <c:ser>
          <c:idx val="0"/>
          <c:order val="0"/>
          <c:tx>
            <c:strRef>
              <c:f>Sheet1!$B$1</c:f>
              <c:strCache>
                <c:ptCount val="1"/>
                <c:pt idx="0">
                  <c:v>上小学前</c:v>
                </c:pt>
              </c:strCache>
            </c:strRef>
          </c:tx>
          <c:spPr>
            <a:solidFill>
              <a:srgbClr val="1F497D">
                <a:lumMod val="60000"/>
                <a:lumOff val="40000"/>
              </a:srgbClr>
            </a:solidFill>
            <a:ln w="12700" cap="flat" cmpd="sng" algn="ctr">
              <a:solidFill>
                <a:schemeClr val="lt1">
                  <a:shade val="95000"/>
                  <a:satMod val="105000"/>
                </a:schemeClr>
              </a:solidFill>
              <a:prstDash val="solid"/>
              <a:round/>
            </a:ln>
          </c:spPr>
          <c:invertIfNegative val="0"/>
          <c:dLbls>
            <c:dLbl>
              <c:idx val="1"/>
              <c:layout>
                <c:manualLayout>
                  <c:x val="-0.0019558071493454"/>
                  <c:y val="0.0136054421768707"/>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940626207574913"/>
                  <c:y val="0.017545306836645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254939451880194"/>
                  <c:y val="0.018140589569161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4"/>
                <c:pt idx="0">
                  <c:v>小学生</c:v>
                </c:pt>
                <c:pt idx="1">
                  <c:v>初中生</c:v>
                </c:pt>
                <c:pt idx="2">
                  <c:v>高中生</c:v>
                </c:pt>
                <c:pt idx="3">
                  <c:v>中等职业教育学生</c:v>
                </c:pt>
              </c:strCache>
            </c:strRef>
          </c:cat>
          <c:val>
            <c:numRef>
              <c:f>Sheet1!$B$2:$B$5</c:f>
              <c:numCache>
                <c:formatCode>0.0%</c:formatCode>
                <c:ptCount val="4"/>
                <c:pt idx="0">
                  <c:v>0.282019308139926</c:v>
                </c:pt>
                <c:pt idx="1">
                  <c:v>0.213599718240615</c:v>
                </c:pt>
                <c:pt idx="2">
                  <c:v>0.198308601268304</c:v>
                </c:pt>
                <c:pt idx="3">
                  <c:v>0.210355333109594</c:v>
                </c:pt>
              </c:numCache>
            </c:numRef>
          </c:val>
        </c:ser>
        <c:ser>
          <c:idx val="1"/>
          <c:order val="1"/>
          <c:tx>
            <c:strRef>
              <c:f>Sheet1!$C$1</c:f>
              <c:strCache>
                <c:ptCount val="1"/>
                <c:pt idx="0">
                  <c:v>上小学时</c:v>
                </c:pt>
              </c:strCache>
            </c:strRef>
          </c:tx>
          <c:spPr>
            <a:solidFill>
              <a:srgbClr val="FF0000">
                <a:alpha val="70000"/>
              </a:srgbClr>
            </a:solidFill>
            <a:ln w="12700" cap="flat" cmpd="sng" algn="ctr">
              <a:solidFill>
                <a:schemeClr val="lt1">
                  <a:shade val="95000"/>
                  <a:satMod val="105000"/>
                </a:schemeClr>
              </a:solidFill>
              <a:prstDash val="solid"/>
              <a:round/>
            </a:ln>
          </c:spPr>
          <c:invertIfNegative val="0"/>
          <c:dLbls>
            <c:dLbl>
              <c:idx val="0"/>
              <c:layout>
                <c:manualLayout>
                  <c:x val="-0.00138490336891447"/>
                  <c:y val="-0.0042376845751424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333328314840187"/>
                  <c:y val="-0.009070294784580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0981416519875742"/>
                  <c:y val="0.013605442176870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351776295649469"/>
                  <c:y val="0.0057249986608816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0.0%" sourceLinked="0"/>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4"/>
                <c:pt idx="0">
                  <c:v>小学生</c:v>
                </c:pt>
                <c:pt idx="1">
                  <c:v>初中生</c:v>
                </c:pt>
                <c:pt idx="2">
                  <c:v>高中生</c:v>
                </c:pt>
                <c:pt idx="3">
                  <c:v>中等职业教育学生</c:v>
                </c:pt>
              </c:strCache>
            </c:strRef>
          </c:cat>
          <c:val>
            <c:numRef>
              <c:f>Sheet1!$C$2:$C$5</c:f>
              <c:numCache>
                <c:formatCode>0.0%</c:formatCode>
                <c:ptCount val="4"/>
                <c:pt idx="0">
                  <c:v>0.718465910804355</c:v>
                </c:pt>
                <c:pt idx="1">
                  <c:v>0.692297814939297</c:v>
                </c:pt>
                <c:pt idx="2">
                  <c:v>0.57523007548216</c:v>
                </c:pt>
                <c:pt idx="3">
                  <c:v>0.458939284218663</c:v>
                </c:pt>
              </c:numCache>
            </c:numRef>
          </c:val>
        </c:ser>
        <c:ser>
          <c:idx val="2"/>
          <c:order val="2"/>
          <c:tx>
            <c:strRef>
              <c:f>Sheet1!$D$1</c:f>
              <c:strCache>
                <c:ptCount val="1"/>
                <c:pt idx="0">
                  <c:v>上初中时</c:v>
                </c:pt>
              </c:strCache>
            </c:strRef>
          </c:tx>
          <c:invertIfNegative val="0"/>
          <c:dLbls>
            <c:dLbl>
              <c:idx val="0"/>
              <c:layout>
                <c:manualLayout>
                  <c:x val="-2.33691797929239e-17"/>
                  <c:y val="0.0045351473922902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
                  <c:y val="0.009070294784580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4"/>
                <c:pt idx="0">
                  <c:v>小学生</c:v>
                </c:pt>
                <c:pt idx="1">
                  <c:v>初中生</c:v>
                </c:pt>
                <c:pt idx="2">
                  <c:v>高中生</c:v>
                </c:pt>
                <c:pt idx="3">
                  <c:v>中等职业教育学生</c:v>
                </c:pt>
              </c:strCache>
            </c:strRef>
          </c:cat>
          <c:val>
            <c:numRef>
              <c:f>Sheet1!$D$2:$D$5</c:f>
              <c:numCache>
                <c:formatCode>General</c:formatCode>
                <c:ptCount val="4"/>
                <c:pt idx="1" c:formatCode="0.0%">
                  <c:v>0.0936632170612601</c:v>
                </c:pt>
                <c:pt idx="2" c:formatCode="0.0%">
                  <c:v>0.162291528303632</c:v>
                </c:pt>
                <c:pt idx="3" c:formatCode="0.0%">
                  <c:v>0.262849086343176</c:v>
                </c:pt>
              </c:numCache>
            </c:numRef>
          </c:val>
        </c:ser>
        <c:ser>
          <c:idx val="3"/>
          <c:order val="3"/>
          <c:tx>
            <c:strRef>
              <c:f>Sheet1!$E$1</c:f>
              <c:strCache>
                <c:ptCount val="1"/>
                <c:pt idx="0">
                  <c:v>上高中/中专/技校时</c:v>
                </c:pt>
              </c:strCache>
            </c:strRef>
          </c:tx>
          <c:invertIfNegative val="0"/>
          <c:dLbls>
            <c:dLbl>
              <c:idx val="1"/>
              <c:layout>
                <c:manualLayout>
                  <c:x val="0.00254939451880194"/>
                  <c:y val="0.022675736961451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509878903760357"/>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25493945188016"/>
                  <c:y val="0.0045351473922902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4"/>
                <c:pt idx="0">
                  <c:v>小学生</c:v>
                </c:pt>
                <c:pt idx="1">
                  <c:v>初中生</c:v>
                </c:pt>
                <c:pt idx="2">
                  <c:v>高中生</c:v>
                </c:pt>
                <c:pt idx="3">
                  <c:v>中等职业教育学生</c:v>
                </c:pt>
              </c:strCache>
            </c:strRef>
          </c:cat>
          <c:val>
            <c:numRef>
              <c:f>Sheet1!$E$2:$E$5</c:f>
              <c:numCache>
                <c:formatCode>General</c:formatCode>
                <c:ptCount val="4"/>
                <c:pt idx="2" c:formatCode="0.0%">
                  <c:v>0.0641697949459045</c:v>
                </c:pt>
                <c:pt idx="3" c:formatCode="0.0%">
                  <c:v>0.0678562963285665</c:v>
                </c:pt>
              </c:numCache>
            </c:numRef>
          </c:val>
        </c:ser>
        <c:dLbls>
          <c:showLegendKey val="0"/>
          <c:showVal val="0"/>
          <c:showCatName val="0"/>
          <c:showSerName val="0"/>
          <c:showPercent val="0"/>
          <c:showBubbleSize val="0"/>
        </c:dLbls>
        <c:gapWidth val="100"/>
        <c:overlap val="-20"/>
        <c:axId val="401672064"/>
        <c:axId val="401673600"/>
      </c:barChart>
      <c:catAx>
        <c:axId val="401672064"/>
        <c:scaling>
          <c:orientation val="minMax"/>
        </c:scaling>
        <c:delete val="0"/>
        <c:axPos val="b"/>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01673600"/>
        <c:crosses val="autoZero"/>
        <c:auto val="1"/>
        <c:lblAlgn val="ctr"/>
        <c:lblOffset val="100"/>
        <c:noMultiLvlLbl val="0"/>
      </c:catAx>
      <c:valAx>
        <c:axId val="401673600"/>
        <c:scaling>
          <c:orientation val="minMax"/>
          <c:max val="0.8"/>
          <c:min val="0"/>
        </c:scaling>
        <c:delete val="0"/>
        <c:axPos val="l"/>
        <c:majorGridlines>
          <c:spPr>
            <a:ln w="9525" cap="flat" cmpd="sng" algn="ctr">
              <a:solidFill>
                <a:sysClr val="window" lastClr="FFFFFF">
                  <a:lumMod val="85000"/>
                </a:sysClr>
              </a:solidFill>
              <a:prstDash val="dash"/>
              <a:round/>
            </a:ln>
          </c:spPr>
        </c:majorGridlines>
        <c:numFmt formatCode="0%" sourceLinked="0"/>
        <c:majorTickMark val="in"/>
        <c:minorTickMark val="none"/>
        <c:tickLblPos val="nextTo"/>
        <c:spPr>
          <a:ln w="9525"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01672064"/>
        <c:crosses val="autoZero"/>
        <c:crossBetween val="between"/>
        <c:majorUnit val="0.2"/>
      </c:valAx>
      <c:spPr>
        <a:noFill/>
        <a:ln w="12700">
          <a:noFill/>
        </a:ln>
      </c:spPr>
    </c:plotArea>
    <c:legend>
      <c:legendPos val="b"/>
      <c:layout>
        <c:manualLayout>
          <c:xMode val="edge"/>
          <c:yMode val="edge"/>
          <c:x val="0.173915880017866"/>
          <c:y val="0.918743371364294"/>
          <c:w val="0.648769917144712"/>
          <c:h val="0.0676190476190476"/>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Arial" panose="020B0604020202020204" pitchFamily="2" charset="0"/>
            </a:defRPr>
          </a:pPr>
        </a:p>
      </c:txPr>
    </c:legend>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821560937209669"/>
          <c:y val="0.0612383415172734"/>
          <c:w val="0.885097710921126"/>
          <c:h val="0.751575481109142"/>
        </c:manualLayout>
      </c:layout>
      <c:barChart>
        <c:barDir val="col"/>
        <c:grouping val="clustered"/>
        <c:varyColors val="0"/>
        <c:ser>
          <c:idx val="0"/>
          <c:order val="0"/>
          <c:tx>
            <c:strRef>
              <c:f>Sheet1!$B$1</c:f>
              <c:strCache>
                <c:ptCount val="1"/>
                <c:pt idx="0">
                  <c:v>2020年</c:v>
                </c:pt>
              </c:strCache>
            </c:strRef>
          </c:tx>
          <c:spPr>
            <a:solidFill>
              <a:srgbClr val="5B9BD5"/>
            </a:solidFill>
            <a:ln w="12700" cap="flat" cmpd="sng" algn="ctr">
              <a:solidFill>
                <a:schemeClr val="lt1">
                  <a:shade val="95000"/>
                  <a:satMod val="105000"/>
                </a:schemeClr>
              </a:solidFill>
              <a:prstDash val="solid"/>
              <a:round/>
            </a:ln>
          </c:spPr>
          <c:invertIfNegative val="0"/>
          <c:dLbls>
            <c:dLbl>
              <c:idx val="0"/>
              <c:layout>
                <c:manualLayout>
                  <c:x val="0.00276014352746343"/>
                  <c:y val="0.0098397109955351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538533926598429"/>
                  <c:y val="0.01476014760147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545287078901993"/>
                  <c:y val="0.0098400984009840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1.01204093555352e-16"/>
                  <c:y val="0.01476014760147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Sheet1!$A$2:$A$9</c:f>
              <c:strCache>
                <c:ptCount val="8"/>
                <c:pt idx="0">
                  <c:v>台式电脑</c:v>
                </c:pt>
                <c:pt idx="1">
                  <c:v>笔记本电脑</c:v>
                </c:pt>
                <c:pt idx="2">
                  <c:v>手机</c:v>
                </c:pt>
                <c:pt idx="3">
                  <c:v>平板电脑</c:v>
                </c:pt>
                <c:pt idx="4">
                  <c:v>智能手表</c:v>
                </c:pt>
                <c:pt idx="5">
                  <c:v>智能台灯</c:v>
                </c:pt>
                <c:pt idx="6">
                  <c:v>智能音箱</c:v>
                </c:pt>
                <c:pt idx="7">
                  <c:v>词典笔</c:v>
                </c:pt>
              </c:strCache>
            </c:strRef>
          </c:cat>
          <c:val>
            <c:numRef>
              <c:f>Sheet1!$B$2:$B$9</c:f>
              <c:numCache>
                <c:formatCode>0.0%</c:formatCode>
                <c:ptCount val="8"/>
                <c:pt idx="0">
                  <c:v>0.368508583404152</c:v>
                </c:pt>
                <c:pt idx="1">
                  <c:v>0.303454376764485</c:v>
                </c:pt>
                <c:pt idx="2">
                  <c:v>0.921766468880158</c:v>
                </c:pt>
                <c:pt idx="3">
                  <c:v>0.395589463874934</c:v>
                </c:pt>
                <c:pt idx="4">
                  <c:v>0.258360392792277</c:v>
                </c:pt>
              </c:numCache>
            </c:numRef>
          </c:val>
        </c:ser>
        <c:ser>
          <c:idx val="1"/>
          <c:order val="1"/>
          <c:tx>
            <c:strRef>
              <c:f>Sheet1!$C$1</c:f>
              <c:strCache>
                <c:ptCount val="1"/>
                <c:pt idx="0">
                  <c:v>2021年</c:v>
                </c:pt>
              </c:strCache>
            </c:strRef>
          </c:tx>
          <c:spPr>
            <a:solidFill>
              <a:srgbClr val="FF0000">
                <a:alpha val="70000"/>
              </a:srgbClr>
            </a:solidFill>
            <a:ln w="12700" cap="flat" cmpd="sng" algn="ctr">
              <a:solidFill>
                <a:schemeClr val="lt1">
                  <a:shade val="95000"/>
                  <a:satMod val="105000"/>
                </a:schemeClr>
              </a:solidFill>
              <a:prstDash val="solid"/>
              <a:round/>
            </a:ln>
          </c:spPr>
          <c:invertIfNegative val="0"/>
          <c:dLbls>
            <c:dLbl>
              <c:idx val="0"/>
              <c:layout>
                <c:manualLayout>
                  <c:x val="0.00874639497001876"/>
                  <c:y val="0.0049200492004920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622948330392982"/>
                  <c:y val="0.024600246002459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111488950204493"/>
                  <c:y val="0.0049200492004920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207149949950759"/>
                  <c:y val="0.0049200492004920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0231465294191699"/>
                  <c:y val="0.014760147601475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0.0%" sourceLinked="0"/>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Sheet1!$A$2:$A$9</c:f>
              <c:strCache>
                <c:ptCount val="8"/>
                <c:pt idx="0">
                  <c:v>台式电脑</c:v>
                </c:pt>
                <c:pt idx="1">
                  <c:v>笔记本电脑</c:v>
                </c:pt>
                <c:pt idx="2">
                  <c:v>手机</c:v>
                </c:pt>
                <c:pt idx="3">
                  <c:v>平板电脑</c:v>
                </c:pt>
                <c:pt idx="4">
                  <c:v>智能手表</c:v>
                </c:pt>
                <c:pt idx="5">
                  <c:v>智能台灯</c:v>
                </c:pt>
                <c:pt idx="6">
                  <c:v>智能音箱</c:v>
                </c:pt>
                <c:pt idx="7">
                  <c:v>词典笔</c:v>
                </c:pt>
              </c:strCache>
            </c:strRef>
          </c:cat>
          <c:val>
            <c:numRef>
              <c:f>Sheet1!$C$2:$C$9</c:f>
              <c:numCache>
                <c:formatCode>0.0%</c:formatCode>
                <c:ptCount val="8"/>
                <c:pt idx="0">
                  <c:v>0.410934791738805</c:v>
                </c:pt>
                <c:pt idx="1">
                  <c:v>0.384067425257768</c:v>
                </c:pt>
                <c:pt idx="2">
                  <c:v>0.907184707468103</c:v>
                </c:pt>
                <c:pt idx="3">
                  <c:v>0.457330440814168</c:v>
                </c:pt>
                <c:pt idx="4">
                  <c:v>0.393403371827333</c:v>
                </c:pt>
                <c:pt idx="5">
                  <c:v>0.216687202968452</c:v>
                </c:pt>
                <c:pt idx="6">
                  <c:v>0.19941327377769</c:v>
                </c:pt>
                <c:pt idx="7">
                  <c:v>0.163586876283972</c:v>
                </c:pt>
              </c:numCache>
            </c:numRef>
          </c:val>
        </c:ser>
        <c:dLbls>
          <c:showLegendKey val="0"/>
          <c:showVal val="0"/>
          <c:showCatName val="0"/>
          <c:showSerName val="0"/>
          <c:showPercent val="0"/>
          <c:showBubbleSize val="0"/>
        </c:dLbls>
        <c:gapWidth val="150"/>
        <c:overlap val="-20"/>
        <c:axId val="400867712"/>
        <c:axId val="400869248"/>
      </c:barChart>
      <c:catAx>
        <c:axId val="400867712"/>
        <c:scaling>
          <c:orientation val="minMax"/>
        </c:scaling>
        <c:delete val="0"/>
        <c:axPos val="b"/>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00869248"/>
        <c:crosses val="autoZero"/>
        <c:auto val="1"/>
        <c:lblAlgn val="ctr"/>
        <c:lblOffset val="100"/>
        <c:noMultiLvlLbl val="0"/>
      </c:catAx>
      <c:valAx>
        <c:axId val="400869248"/>
        <c:scaling>
          <c:orientation val="minMax"/>
          <c:max val="1"/>
        </c:scaling>
        <c:delete val="0"/>
        <c:axPos val="l"/>
        <c:majorGridlines>
          <c:spPr>
            <a:ln w="9525" cap="flat" cmpd="sng" algn="ctr">
              <a:solidFill>
                <a:sysClr val="window" lastClr="FFFFFF">
                  <a:lumMod val="85000"/>
                </a:sysClr>
              </a:solidFill>
              <a:prstDash val="dash"/>
              <a:round/>
            </a:ln>
          </c:spPr>
        </c:majorGridlines>
        <c:numFmt formatCode="0%" sourceLinked="0"/>
        <c:majorTickMark val="in"/>
        <c:minorTickMark val="none"/>
        <c:tickLblPos val="nextTo"/>
        <c:spPr>
          <a:ln w="9525"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00867712"/>
        <c:crosses val="autoZero"/>
        <c:crossBetween val="between"/>
        <c:majorUnit val="0.2"/>
      </c:valAx>
      <c:spPr>
        <a:noFill/>
        <a:ln w="12700">
          <a:noFill/>
        </a:ln>
      </c:spPr>
    </c:plotArea>
    <c:legend>
      <c:legendPos val="b"/>
      <c:layout>
        <c:manualLayout>
          <c:xMode val="edge"/>
          <c:yMode val="edge"/>
          <c:x val="0.243475084397992"/>
          <c:y val="0.90823565873454"/>
          <c:w val="0.515705216671296"/>
          <c:h val="0.0733579335793359"/>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Arial" panose="020B0604020202020204" pitchFamily="2" charset="0"/>
            </a:defRPr>
          </a:pPr>
        </a:p>
      </c:txPr>
    </c:legend>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703814243544066"/>
          <c:y val="0.0809185383192415"/>
          <c:w val="0.902793320775125"/>
          <c:h val="0.756495530309634"/>
        </c:manualLayout>
      </c:layout>
      <c:barChart>
        <c:barDir val="col"/>
        <c:grouping val="clustered"/>
        <c:varyColors val="0"/>
        <c:ser>
          <c:idx val="0"/>
          <c:order val="0"/>
          <c:tx>
            <c:strRef>
              <c:f>Sheet1!$B$1</c:f>
              <c:strCache>
                <c:ptCount val="1"/>
                <c:pt idx="0">
                  <c:v>城镇</c:v>
                </c:pt>
              </c:strCache>
            </c:strRef>
          </c:tx>
          <c:spPr>
            <a:solidFill>
              <a:srgbClr val="5B9BD5"/>
            </a:solidFill>
            <a:ln w="12700" cap="flat" cmpd="sng" algn="ctr">
              <a:solidFill>
                <a:schemeClr val="lt1">
                  <a:shade val="95000"/>
                  <a:satMod val="105000"/>
                </a:schemeClr>
              </a:solidFill>
              <a:prstDash val="solid"/>
              <a:round/>
            </a:ln>
          </c:spPr>
          <c:invertIfNegative val="0"/>
          <c:dLbls>
            <c:dLbl>
              <c:idx val="0"/>
              <c:layout>
                <c:manualLayout>
                  <c:x val="-0.00455957095883938"/>
                  <c:y val="0.0049196617950430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763040828265385"/>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291553743471826"/>
                  <c:y val="0.0098400984009840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
                  <c:y val="0.0049200492004920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1.01204093555352e-16"/>
                  <c:y val="0.01476014760147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Sheet1!$A$2:$A$9</c:f>
              <c:strCache>
                <c:ptCount val="8"/>
                <c:pt idx="0">
                  <c:v>台式电脑</c:v>
                </c:pt>
                <c:pt idx="1">
                  <c:v>笔记本电脑</c:v>
                </c:pt>
                <c:pt idx="2">
                  <c:v>手机</c:v>
                </c:pt>
                <c:pt idx="3">
                  <c:v>平板电脑</c:v>
                </c:pt>
                <c:pt idx="4">
                  <c:v>智能手表</c:v>
                </c:pt>
                <c:pt idx="5">
                  <c:v>智能台灯</c:v>
                </c:pt>
                <c:pt idx="6">
                  <c:v>智能音箱</c:v>
                </c:pt>
                <c:pt idx="7">
                  <c:v>词典笔</c:v>
                </c:pt>
              </c:strCache>
            </c:strRef>
          </c:cat>
          <c:val>
            <c:numRef>
              <c:f>Sheet1!$B$2:$B$9</c:f>
              <c:numCache>
                <c:formatCode>0.0%</c:formatCode>
                <c:ptCount val="8"/>
                <c:pt idx="0">
                  <c:v>0.429015840392808</c:v>
                </c:pt>
                <c:pt idx="1">
                  <c:v>0.414316087032194</c:v>
                </c:pt>
                <c:pt idx="2">
                  <c:v>0.902197506873069</c:v>
                </c:pt>
                <c:pt idx="3">
                  <c:v>0.48247305750365</c:v>
                </c:pt>
                <c:pt idx="4">
                  <c:v>0.422866664674085</c:v>
                </c:pt>
                <c:pt idx="5">
                  <c:v>0.227360117223957</c:v>
                </c:pt>
                <c:pt idx="6">
                  <c:v>0.211202243536757</c:v>
                </c:pt>
                <c:pt idx="7">
                  <c:v>0.182073974408403</c:v>
                </c:pt>
              </c:numCache>
            </c:numRef>
          </c:val>
        </c:ser>
        <c:ser>
          <c:idx val="1"/>
          <c:order val="1"/>
          <c:tx>
            <c:strRef>
              <c:f>Sheet1!$C$1</c:f>
              <c:strCache>
                <c:ptCount val="1"/>
                <c:pt idx="0">
                  <c:v>农村</c:v>
                </c:pt>
              </c:strCache>
            </c:strRef>
          </c:tx>
          <c:spPr>
            <a:solidFill>
              <a:srgbClr val="FF0000">
                <a:alpha val="70000"/>
              </a:srgbClr>
            </a:solidFill>
            <a:ln w="12700" cap="flat" cmpd="sng" algn="ctr">
              <a:solidFill>
                <a:schemeClr val="lt1">
                  <a:shade val="95000"/>
                  <a:satMod val="105000"/>
                </a:schemeClr>
              </a:solidFill>
              <a:prstDash val="solid"/>
              <a:round/>
            </a:ln>
          </c:spPr>
          <c:invertIfNegative val="0"/>
          <c:dLbls>
            <c:dLbl>
              <c:idx val="0"/>
              <c:layout>
                <c:manualLayout>
                  <c:x val="0.00874643018042898"/>
                  <c:y val="0.019680196801967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369215163219884"/>
                  <c:y val="0.024600246002459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353667839546554"/>
                  <c:y val="0.0049200492004919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102255578428443"/>
                  <c:y val="0.01968019680196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0764001425526335"/>
                  <c:y val="0.01968019680196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5"/>
              <c:layout>
                <c:manualLayout>
                  <c:x val="-8.94625914239297e-17"/>
                  <c:y val="0.01476014760147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6"/>
              <c:layout>
                <c:manualLayout>
                  <c:x val="0.00243991704282054"/>
                  <c:y val="0.0246002460024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7"/>
              <c:layout>
                <c:manualLayout>
                  <c:x val="0.00243991704282054"/>
                  <c:y val="0.0098400984009840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0.0%" sourceLinked="0"/>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Sheet1!$A$2:$A$9</c:f>
              <c:strCache>
                <c:ptCount val="8"/>
                <c:pt idx="0">
                  <c:v>台式电脑</c:v>
                </c:pt>
                <c:pt idx="1">
                  <c:v>笔记本电脑</c:v>
                </c:pt>
                <c:pt idx="2">
                  <c:v>手机</c:v>
                </c:pt>
                <c:pt idx="3">
                  <c:v>平板电脑</c:v>
                </c:pt>
                <c:pt idx="4">
                  <c:v>智能手表</c:v>
                </c:pt>
                <c:pt idx="5">
                  <c:v>智能台灯</c:v>
                </c:pt>
                <c:pt idx="6">
                  <c:v>智能音箱</c:v>
                </c:pt>
                <c:pt idx="7">
                  <c:v>词典笔</c:v>
                </c:pt>
              </c:strCache>
            </c:strRef>
          </c:cat>
          <c:val>
            <c:numRef>
              <c:f>Sheet1!$C$2:$C$9</c:f>
              <c:numCache>
                <c:formatCode>0.0%</c:formatCode>
                <c:ptCount val="8"/>
                <c:pt idx="0">
                  <c:v>0.355366942348591</c:v>
                </c:pt>
                <c:pt idx="1">
                  <c:v>0.292407434167909</c:v>
                </c:pt>
                <c:pt idx="2">
                  <c:v>0.925352360836848</c:v>
                </c:pt>
                <c:pt idx="3">
                  <c:v>0.382767903715509</c:v>
                </c:pt>
                <c:pt idx="4">
                  <c:v>0.299705498294937</c:v>
                </c:pt>
                <c:pt idx="5">
                  <c:v>0.183330771817255</c:v>
                </c:pt>
                <c:pt idx="6">
                  <c:v>0.162022040979307</c:v>
                </c:pt>
                <c:pt idx="7">
                  <c:v>0.104666437610574</c:v>
                </c:pt>
              </c:numCache>
            </c:numRef>
          </c:val>
        </c:ser>
        <c:dLbls>
          <c:showLegendKey val="0"/>
          <c:showVal val="0"/>
          <c:showCatName val="0"/>
          <c:showSerName val="0"/>
          <c:showPercent val="0"/>
          <c:showBubbleSize val="0"/>
        </c:dLbls>
        <c:gapWidth val="150"/>
        <c:overlap val="-20"/>
        <c:axId val="400867712"/>
        <c:axId val="400869248"/>
      </c:barChart>
      <c:catAx>
        <c:axId val="400867712"/>
        <c:scaling>
          <c:orientation val="minMax"/>
        </c:scaling>
        <c:delete val="0"/>
        <c:axPos val="b"/>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00869248"/>
        <c:crosses val="autoZero"/>
        <c:auto val="1"/>
        <c:lblAlgn val="ctr"/>
        <c:lblOffset val="100"/>
        <c:noMultiLvlLbl val="0"/>
      </c:catAx>
      <c:valAx>
        <c:axId val="400869248"/>
        <c:scaling>
          <c:orientation val="minMax"/>
          <c:max val="1"/>
        </c:scaling>
        <c:delete val="0"/>
        <c:axPos val="l"/>
        <c:majorGridlines>
          <c:spPr>
            <a:ln w="9525" cap="flat" cmpd="sng" algn="ctr">
              <a:solidFill>
                <a:sysClr val="window" lastClr="FFFFFF">
                  <a:lumMod val="85000"/>
                </a:sysClr>
              </a:solidFill>
              <a:prstDash val="dash"/>
              <a:round/>
            </a:ln>
          </c:spPr>
        </c:majorGridlines>
        <c:numFmt formatCode="0%" sourceLinked="0"/>
        <c:majorTickMark val="in"/>
        <c:minorTickMark val="none"/>
        <c:tickLblPos val="nextTo"/>
        <c:spPr>
          <a:ln w="9525"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00867712"/>
        <c:crosses val="autoZero"/>
        <c:crossBetween val="between"/>
        <c:majorUnit val="0.2"/>
      </c:valAx>
      <c:spPr>
        <a:noFill/>
        <a:ln w="12700">
          <a:noFill/>
        </a:ln>
      </c:spPr>
    </c:plotArea>
    <c:legend>
      <c:legendPos val="b"/>
      <c:layout>
        <c:manualLayout>
          <c:xMode val="edge"/>
          <c:yMode val="edge"/>
          <c:x val="0.242990761936141"/>
          <c:y val="0.922995806336016"/>
          <c:w val="0.515705216671296"/>
          <c:h val="0.0733579335793359"/>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Arial" panose="020B0604020202020204" pitchFamily="2" charset="0"/>
            </a:defRPr>
          </a:pPr>
        </a:p>
      </c:txPr>
    </c:legend>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78943263298642"/>
          <c:y val="0.075368409137537"/>
          <c:w val="0.801630936643901"/>
          <c:h val="0.834325897942003"/>
        </c:manualLayout>
      </c:layout>
      <c:barChart>
        <c:barDir val="bar"/>
        <c:grouping val="clustered"/>
        <c:varyColors val="0"/>
        <c:ser>
          <c:idx val="0"/>
          <c:order val="0"/>
          <c:tx>
            <c:strRef>
              <c:f>Sheet1!$B$1</c:f>
              <c:strCache>
                <c:ptCount val="1"/>
                <c:pt idx="0">
                  <c:v>2020年</c:v>
                </c:pt>
              </c:strCache>
            </c:strRef>
          </c:tx>
          <c:spPr>
            <a:solidFill>
              <a:srgbClr val="5B9BD5"/>
            </a:solidFill>
          </c:spPr>
          <c:invertIfNegative val="0"/>
          <c:dLbls>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Sheet1!$A$2:$A$10</c:f>
              <c:strCache>
                <c:ptCount val="9"/>
                <c:pt idx="0">
                  <c:v>手机</c:v>
                </c:pt>
                <c:pt idx="1">
                  <c:v>智能手表</c:v>
                </c:pt>
                <c:pt idx="2">
                  <c:v>平板电脑</c:v>
                </c:pt>
                <c:pt idx="3">
                  <c:v>笔记本电脑</c:v>
                </c:pt>
                <c:pt idx="4">
                  <c:v>台式电脑</c:v>
                </c:pt>
                <c:pt idx="5">
                  <c:v>智能台灯</c:v>
                </c:pt>
                <c:pt idx="6">
                  <c:v>词典笔</c:v>
                </c:pt>
                <c:pt idx="7">
                  <c:v>智能音箱</c:v>
                </c:pt>
                <c:pt idx="8">
                  <c:v>不独自拥有任何上网设备</c:v>
                </c:pt>
              </c:strCache>
            </c:strRef>
          </c:cat>
          <c:val>
            <c:numRef>
              <c:f>Sheet1!$B$2:$B$10</c:f>
              <c:numCache>
                <c:formatCode>0.0%</c:formatCode>
                <c:ptCount val="9"/>
                <c:pt idx="0">
                  <c:v>0.65</c:v>
                </c:pt>
                <c:pt idx="1">
                  <c:v>0.253</c:v>
                </c:pt>
                <c:pt idx="2">
                  <c:v>0.26</c:v>
                </c:pt>
                <c:pt idx="3">
                  <c:v>0.134</c:v>
                </c:pt>
                <c:pt idx="4">
                  <c:v>0.126</c:v>
                </c:pt>
                <c:pt idx="8">
                  <c:v>0.171</c:v>
                </c:pt>
              </c:numCache>
            </c:numRef>
          </c:val>
        </c:ser>
        <c:ser>
          <c:idx val="1"/>
          <c:order val="1"/>
          <c:tx>
            <c:strRef>
              <c:f>Sheet1!$C$1</c:f>
              <c:strCache>
                <c:ptCount val="1"/>
                <c:pt idx="0">
                  <c:v>2021年</c:v>
                </c:pt>
              </c:strCache>
            </c:strRef>
          </c:tx>
          <c:spPr>
            <a:solidFill>
              <a:srgbClr val="FF0000">
                <a:alpha val="70000"/>
              </a:srgbClr>
            </a:solidFill>
          </c:spPr>
          <c:invertIfNegative val="0"/>
          <c:dLbls>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Sheet1!$A$2:$A$10</c:f>
              <c:strCache>
                <c:ptCount val="9"/>
                <c:pt idx="0">
                  <c:v>手机</c:v>
                </c:pt>
                <c:pt idx="1">
                  <c:v>智能手表</c:v>
                </c:pt>
                <c:pt idx="2">
                  <c:v>平板电脑</c:v>
                </c:pt>
                <c:pt idx="3">
                  <c:v>笔记本电脑</c:v>
                </c:pt>
                <c:pt idx="4">
                  <c:v>台式电脑</c:v>
                </c:pt>
                <c:pt idx="5">
                  <c:v>智能台灯</c:v>
                </c:pt>
                <c:pt idx="6">
                  <c:v>词典笔</c:v>
                </c:pt>
                <c:pt idx="7">
                  <c:v>智能音箱</c:v>
                </c:pt>
                <c:pt idx="8">
                  <c:v>不独自拥有任何上网设备</c:v>
                </c:pt>
              </c:strCache>
            </c:strRef>
          </c:cat>
          <c:val>
            <c:numRef>
              <c:f>Sheet1!$C$2:$C$10</c:f>
              <c:numCache>
                <c:formatCode>0.0%</c:formatCode>
                <c:ptCount val="9"/>
                <c:pt idx="0">
                  <c:v>0.609194720584898</c:v>
                </c:pt>
                <c:pt idx="1">
                  <c:v>0.333096269566932</c:v>
                </c:pt>
                <c:pt idx="2">
                  <c:v>0.279254728595958</c:v>
                </c:pt>
                <c:pt idx="3">
                  <c:v>0.16601744372282</c:v>
                </c:pt>
                <c:pt idx="4">
                  <c:v>0.131881458017266</c:v>
                </c:pt>
                <c:pt idx="5">
                  <c:v>0.152669063123169</c:v>
                </c:pt>
                <c:pt idx="6">
                  <c:v>0.110833609981444</c:v>
                </c:pt>
                <c:pt idx="7">
                  <c:v>0.104203481903144</c:v>
                </c:pt>
                <c:pt idx="8">
                  <c:v>0.133003164552263</c:v>
                </c:pt>
              </c:numCache>
            </c:numRef>
          </c:val>
        </c:ser>
        <c:dLbls>
          <c:showLegendKey val="0"/>
          <c:showVal val="0"/>
          <c:showCatName val="0"/>
          <c:showSerName val="0"/>
          <c:showPercent val="0"/>
          <c:showBubbleSize val="0"/>
        </c:dLbls>
        <c:gapWidth val="100"/>
        <c:axId val="400773888"/>
        <c:axId val="400775424"/>
      </c:barChart>
      <c:catAx>
        <c:axId val="400773888"/>
        <c:scaling>
          <c:orientation val="maxMin"/>
        </c:scaling>
        <c:delete val="0"/>
        <c:axPos val="l"/>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00775424"/>
        <c:crosses val="autoZero"/>
        <c:auto val="1"/>
        <c:lblAlgn val="ctr"/>
        <c:lblOffset val="100"/>
        <c:noMultiLvlLbl val="0"/>
      </c:catAx>
      <c:valAx>
        <c:axId val="400775424"/>
        <c:scaling>
          <c:orientation val="minMax"/>
        </c:scaling>
        <c:delete val="0"/>
        <c:axPos val="t"/>
        <c:majorGridlines>
          <c:spPr>
            <a:ln w="9525" cap="flat" cmpd="sng" algn="ctr">
              <a:solidFill>
                <a:sysClr val="window" lastClr="FFFFFF">
                  <a:lumMod val="85000"/>
                </a:sysClr>
              </a:solidFill>
              <a:prstDash val="dash"/>
              <a:round/>
            </a:ln>
          </c:spPr>
        </c:majorGridlines>
        <c:numFmt formatCode="0%" sourceLinked="0"/>
        <c:majorTickMark val="in"/>
        <c:minorTickMark val="none"/>
        <c:tickLblPos val="nextTo"/>
        <c:spPr>
          <a:ln w="9525"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00773888"/>
        <c:crosses val="autoZero"/>
        <c:crossBetween val="between"/>
        <c:majorUnit val="0.1"/>
      </c:valAx>
      <c:spPr>
        <a:noFill/>
        <a:ln w="12700">
          <a:noFill/>
        </a:ln>
      </c:spPr>
    </c:plotArea>
    <c:legend>
      <c:legendPos val="b"/>
      <c:layout>
        <c:manualLayout>
          <c:xMode val="edge"/>
          <c:yMode val="edge"/>
          <c:x val="0.270967683093667"/>
          <c:y val="0.939999575524758"/>
          <c:w val="0.464967824967829"/>
          <c:h val="0.0462325581395349"/>
        </c:manualLayout>
      </c:layout>
      <c:overlay val="0"/>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legend>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78943263298642"/>
          <c:y val="0.0825561899102235"/>
          <c:w val="0.801630936643901"/>
          <c:h val="0.828569164703469"/>
        </c:manualLayout>
      </c:layout>
      <c:barChart>
        <c:barDir val="bar"/>
        <c:grouping val="clustered"/>
        <c:varyColors val="0"/>
        <c:ser>
          <c:idx val="0"/>
          <c:order val="0"/>
          <c:tx>
            <c:strRef>
              <c:f>Sheet1!$B$1</c:f>
              <c:strCache>
                <c:ptCount val="1"/>
                <c:pt idx="0">
                  <c:v>城镇</c:v>
                </c:pt>
              </c:strCache>
            </c:strRef>
          </c:tx>
          <c:spPr>
            <a:solidFill>
              <a:srgbClr val="5B9BD5"/>
            </a:solidFill>
          </c:spPr>
          <c:invertIfNegative val="0"/>
          <c:dLbls>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Sheet1!$A$2:$A$10</c:f>
              <c:strCache>
                <c:ptCount val="9"/>
                <c:pt idx="0">
                  <c:v>手机</c:v>
                </c:pt>
                <c:pt idx="1">
                  <c:v>智能手表</c:v>
                </c:pt>
                <c:pt idx="2">
                  <c:v>平板电脑</c:v>
                </c:pt>
                <c:pt idx="3">
                  <c:v>笔记本电脑</c:v>
                </c:pt>
                <c:pt idx="4">
                  <c:v>智能台灯</c:v>
                </c:pt>
                <c:pt idx="5">
                  <c:v>台式电脑</c:v>
                </c:pt>
                <c:pt idx="6">
                  <c:v>词典笔</c:v>
                </c:pt>
                <c:pt idx="7">
                  <c:v>智能音箱</c:v>
                </c:pt>
                <c:pt idx="8">
                  <c:v>不独自拥有任何上网设备</c:v>
                </c:pt>
              </c:strCache>
            </c:strRef>
          </c:cat>
          <c:val>
            <c:numRef>
              <c:f>Sheet1!$B$2:$B$10</c:f>
              <c:numCache>
                <c:formatCode>0.0%</c:formatCode>
                <c:ptCount val="9"/>
                <c:pt idx="0">
                  <c:v>0.583143746322267</c:v>
                </c:pt>
                <c:pt idx="1">
                  <c:v>0.365354566324061</c:v>
                </c:pt>
                <c:pt idx="2">
                  <c:v>0.2997959777399</c:v>
                </c:pt>
                <c:pt idx="3">
                  <c:v>0.174774167698484</c:v>
                </c:pt>
                <c:pt idx="4">
                  <c:v>0.161420700940791</c:v>
                </c:pt>
                <c:pt idx="5">
                  <c:v>0.135313709958266</c:v>
                </c:pt>
                <c:pt idx="6">
                  <c:v>0.125148786736494</c:v>
                </c:pt>
                <c:pt idx="7">
                  <c:v>0.109705106064859</c:v>
                </c:pt>
                <c:pt idx="8">
                  <c:v>0.136434934992845</c:v>
                </c:pt>
              </c:numCache>
            </c:numRef>
          </c:val>
        </c:ser>
        <c:ser>
          <c:idx val="1"/>
          <c:order val="1"/>
          <c:tx>
            <c:strRef>
              <c:f>Sheet1!$C$1</c:f>
              <c:strCache>
                <c:ptCount val="1"/>
                <c:pt idx="0">
                  <c:v>农村</c:v>
                </c:pt>
              </c:strCache>
            </c:strRef>
          </c:tx>
          <c:spPr>
            <a:solidFill>
              <a:srgbClr val="FF0000">
                <a:alpha val="70000"/>
              </a:srgbClr>
            </a:solidFill>
          </c:spPr>
          <c:invertIfNegative val="0"/>
          <c:dLbls>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Sheet1!$A$2:$A$10</c:f>
              <c:strCache>
                <c:ptCount val="9"/>
                <c:pt idx="0">
                  <c:v>手机</c:v>
                </c:pt>
                <c:pt idx="1">
                  <c:v>智能手表</c:v>
                </c:pt>
                <c:pt idx="2">
                  <c:v>平板电脑</c:v>
                </c:pt>
                <c:pt idx="3">
                  <c:v>笔记本电脑</c:v>
                </c:pt>
                <c:pt idx="4">
                  <c:v>智能台灯</c:v>
                </c:pt>
                <c:pt idx="5">
                  <c:v>台式电脑</c:v>
                </c:pt>
                <c:pt idx="6">
                  <c:v>词典笔</c:v>
                </c:pt>
                <c:pt idx="7">
                  <c:v>智能音箱</c:v>
                </c:pt>
                <c:pt idx="8">
                  <c:v>不独自拥有任何上网设备</c:v>
                </c:pt>
              </c:strCache>
            </c:strRef>
          </c:cat>
          <c:val>
            <c:numRef>
              <c:f>Sheet1!$C$2:$C$10</c:f>
              <c:numCache>
                <c:formatCode>0.0%</c:formatCode>
                <c:ptCount val="9"/>
                <c:pt idx="0">
                  <c:v>0.691846303475903</c:v>
                </c:pt>
                <c:pt idx="1">
                  <c:v>0.231291962935512</c:v>
                </c:pt>
                <c:pt idx="2">
                  <c:v>0.219200546821214</c:v>
                </c:pt>
                <c:pt idx="3">
                  <c:v>0.138537347518355</c:v>
                </c:pt>
                <c:pt idx="4">
                  <c:v>0.12259349831991</c:v>
                </c:pt>
                <c:pt idx="5">
                  <c:v>0.119067377057945</c:v>
                </c:pt>
                <c:pt idx="6">
                  <c:v>0.0646498250115587</c:v>
                </c:pt>
                <c:pt idx="7">
                  <c:v>0.0861482182449695</c:v>
                </c:pt>
                <c:pt idx="8">
                  <c:v>0.12416339812049</c:v>
                </c:pt>
              </c:numCache>
            </c:numRef>
          </c:val>
        </c:ser>
        <c:dLbls>
          <c:showLegendKey val="0"/>
          <c:showVal val="0"/>
          <c:showCatName val="0"/>
          <c:showSerName val="0"/>
          <c:showPercent val="0"/>
          <c:showBubbleSize val="0"/>
        </c:dLbls>
        <c:gapWidth val="100"/>
        <c:axId val="400773888"/>
        <c:axId val="400775424"/>
      </c:barChart>
      <c:catAx>
        <c:axId val="400773888"/>
        <c:scaling>
          <c:orientation val="maxMin"/>
        </c:scaling>
        <c:delete val="0"/>
        <c:axPos val="l"/>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00775424"/>
        <c:crosses val="autoZero"/>
        <c:auto val="1"/>
        <c:lblAlgn val="ctr"/>
        <c:lblOffset val="100"/>
        <c:noMultiLvlLbl val="0"/>
      </c:catAx>
      <c:valAx>
        <c:axId val="400775424"/>
        <c:scaling>
          <c:orientation val="minMax"/>
        </c:scaling>
        <c:delete val="0"/>
        <c:axPos val="t"/>
        <c:majorGridlines>
          <c:spPr>
            <a:ln w="9525" cap="flat" cmpd="sng" algn="ctr">
              <a:solidFill>
                <a:sysClr val="window" lastClr="FFFFFF">
                  <a:lumMod val="85000"/>
                </a:sysClr>
              </a:solidFill>
              <a:prstDash val="dash"/>
              <a:round/>
            </a:ln>
          </c:spPr>
        </c:majorGridlines>
        <c:numFmt formatCode="0%" sourceLinked="0"/>
        <c:majorTickMark val="in"/>
        <c:minorTickMark val="none"/>
        <c:tickLblPos val="nextTo"/>
        <c:spPr>
          <a:ln w="9525"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00773888"/>
        <c:crosses val="autoZero"/>
        <c:crossBetween val="between"/>
        <c:majorUnit val="0.1"/>
      </c:valAx>
      <c:spPr>
        <a:noFill/>
        <a:ln w="12700">
          <a:noFill/>
        </a:ln>
      </c:spPr>
    </c:plotArea>
    <c:legend>
      <c:legendPos val="b"/>
      <c:layout>
        <c:manualLayout>
          <c:xMode val="edge"/>
          <c:yMode val="edge"/>
          <c:x val="0.268393680519665"/>
          <c:y val="0.936405685138414"/>
          <c:w val="0.464967824967829"/>
          <c:h val="0.0462325581395349"/>
        </c:manualLayout>
      </c:layout>
      <c:overlay val="0"/>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legend>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312115485564304"/>
          <c:y val="0.0509259259259259"/>
          <c:w val="0.643280402449694"/>
          <c:h val="0.522579104695246"/>
        </c:manualLayout>
      </c:layout>
      <c:barChart>
        <c:barDir val="bar"/>
        <c:grouping val="percentStacked"/>
        <c:varyColors val="0"/>
        <c:ser>
          <c:idx val="0"/>
          <c:order val="0"/>
          <c:tx>
            <c:strRef>
              <c:f>[工作簿1]Sheet1!$B$1</c:f>
              <c:strCache>
                <c:ptCount val="1"/>
                <c:pt idx="0">
                  <c:v>担心</c:v>
                </c:pt>
              </c:strCache>
            </c:strRef>
          </c:tx>
          <c:spPr>
            <a:solidFill>
              <a:schemeClr val="accent1"/>
            </a:solidFill>
            <a:ln>
              <a:solidFill>
                <a:schemeClr val="bg1">
                  <a:lumMod val="95000"/>
                </a:schemeClr>
              </a:solidFill>
            </a:ln>
            <a:effectLst>
              <a:outerShdw blurRad="38100" dist="12700" dir="5400000" algn="tl" rotWithShape="0">
                <a:prstClr val="black">
                  <a:alpha val="40000"/>
                </a:prstClr>
              </a:outerShdw>
            </a:effectLst>
          </c:spPr>
          <c:invertIfNegative val="0"/>
          <c:dPt>
            <c:idx val="2"/>
            <c:invertIfNegative val="0"/>
            <c:bubble3D val="0"/>
          </c:dPt>
          <c:dLbls>
            <c:delete val="1"/>
          </c:dLbls>
          <c:cat>
            <c:strRef>
              <c:f>[工作簿1]Sheet1!$A$2:$A$4</c:f>
              <c:strCache>
                <c:ptCount val="3"/>
                <c:pt idx="0">
                  <c:v>未成年网民</c:v>
                </c:pt>
                <c:pt idx="1">
                  <c:v>家长</c:v>
                </c:pt>
                <c:pt idx="2">
                  <c:v>教师</c:v>
                </c:pt>
              </c:strCache>
            </c:strRef>
          </c:cat>
          <c:val>
            <c:numRef>
              <c:f>[工作簿1]Sheet1!$B$2:$B$4</c:f>
              <c:numCache>
                <c:formatCode>0.0%</c:formatCode>
                <c:ptCount val="3"/>
                <c:pt idx="0">
                  <c:v>0.56</c:v>
                </c:pt>
                <c:pt idx="1">
                  <c:v>0.568</c:v>
                </c:pt>
                <c:pt idx="2">
                  <c:v>0.79</c:v>
                </c:pt>
              </c:numCache>
            </c:numRef>
          </c:val>
        </c:ser>
        <c:ser>
          <c:idx val="1"/>
          <c:order val="1"/>
          <c:tx>
            <c:strRef>
              <c:f>[工作簿1]Sheet1!$C$1</c:f>
              <c:strCache>
                <c:ptCount val="1"/>
                <c:pt idx="0">
                  <c:v>不担心</c:v>
                </c:pt>
              </c:strCache>
            </c:strRef>
          </c:tx>
          <c:spPr>
            <a:solidFill>
              <a:schemeClr val="accent2"/>
            </a:solidFill>
            <a:ln>
              <a:solidFill>
                <a:schemeClr val="bg1">
                  <a:lumMod val="95000"/>
                </a:schemeClr>
              </a:solidFill>
            </a:ln>
            <a:effectLst>
              <a:outerShdw blurRad="38100" dist="12700" dir="5400000" algn="tl" rotWithShape="0">
                <a:prstClr val="black">
                  <a:alpha val="40000"/>
                </a:prstClr>
              </a:outerShdw>
            </a:effectLst>
          </c:spPr>
          <c:invertIfNegative val="0"/>
          <c:dLbls>
            <c:delete val="1"/>
          </c:dLbls>
          <c:cat>
            <c:strRef>
              <c:f>[工作簿1]Sheet1!$A$2:$A$4</c:f>
              <c:strCache>
                <c:ptCount val="3"/>
                <c:pt idx="0">
                  <c:v>未成年网民</c:v>
                </c:pt>
                <c:pt idx="1">
                  <c:v>家长</c:v>
                </c:pt>
                <c:pt idx="2">
                  <c:v>教师</c:v>
                </c:pt>
              </c:strCache>
            </c:strRef>
          </c:cat>
          <c:val>
            <c:numRef>
              <c:f>[工作簿1]Sheet1!$C$2:$C$4</c:f>
              <c:numCache>
                <c:formatCode>0.0%</c:formatCode>
                <c:ptCount val="3"/>
                <c:pt idx="0">
                  <c:v>0.187</c:v>
                </c:pt>
                <c:pt idx="1">
                  <c:v>0.305</c:v>
                </c:pt>
                <c:pt idx="2">
                  <c:v>0.153</c:v>
                </c:pt>
              </c:numCache>
            </c:numRef>
          </c:val>
        </c:ser>
        <c:ser>
          <c:idx val="2"/>
          <c:order val="2"/>
          <c:tx>
            <c:strRef>
              <c:f>[工作簿1]Sheet1!$D$1</c:f>
              <c:strCache>
                <c:ptCount val="1"/>
                <c:pt idx="0">
                  <c:v>不知道/没想过这个问题</c:v>
                </c:pt>
              </c:strCache>
            </c:strRef>
          </c:tx>
          <c:spPr>
            <a:solidFill>
              <a:schemeClr val="accent6"/>
            </a:solidFill>
            <a:ln>
              <a:solidFill>
                <a:schemeClr val="bg1">
                  <a:lumMod val="95000"/>
                </a:schemeClr>
              </a:solidFill>
            </a:ln>
            <a:effectLst>
              <a:outerShdw blurRad="38100" dist="12700" dir="5400000" algn="tl" rotWithShape="0">
                <a:prstClr val="black">
                  <a:alpha val="40000"/>
                </a:prstClr>
              </a:outerShdw>
            </a:effectLst>
          </c:spPr>
          <c:invertIfNegative val="0"/>
          <c:dLbls>
            <c:delete val="1"/>
          </c:dLbls>
          <c:cat>
            <c:strRef>
              <c:f>[工作簿1]Sheet1!$A$2:$A$4</c:f>
              <c:strCache>
                <c:ptCount val="3"/>
                <c:pt idx="0">
                  <c:v>未成年网民</c:v>
                </c:pt>
                <c:pt idx="1">
                  <c:v>家长</c:v>
                </c:pt>
                <c:pt idx="2">
                  <c:v>教师</c:v>
                </c:pt>
              </c:strCache>
            </c:strRef>
          </c:cat>
          <c:val>
            <c:numRef>
              <c:f>[工作簿1]Sheet1!$D$2:$D$4</c:f>
              <c:numCache>
                <c:formatCode>0.0%</c:formatCode>
                <c:ptCount val="3"/>
                <c:pt idx="0">
                  <c:v>0.253</c:v>
                </c:pt>
                <c:pt idx="1">
                  <c:v>0.127</c:v>
                </c:pt>
                <c:pt idx="2">
                  <c:v>0.056</c:v>
                </c:pt>
              </c:numCache>
            </c:numRef>
          </c:val>
        </c:ser>
        <c:dLbls>
          <c:showLegendKey val="0"/>
          <c:showVal val="0"/>
          <c:showCatName val="0"/>
          <c:showSerName val="0"/>
          <c:showPercent val="0"/>
          <c:showBubbleSize val="0"/>
        </c:dLbls>
        <c:gapWidth val="95"/>
        <c:overlap val="100"/>
        <c:axId val="115762886"/>
        <c:axId val="291185363"/>
      </c:barChart>
      <c:catAx>
        <c:axId val="115762886"/>
        <c:scaling>
          <c:orientation val="minMax"/>
        </c:scaling>
        <c:delete val="0"/>
        <c:axPos val="l"/>
        <c:numFmt formatCode="General" sourceLinked="0"/>
        <c:majorTickMark val="in"/>
        <c:minorTickMark val="none"/>
        <c:tickLblPos val="nextTo"/>
        <c:spPr>
          <a:noFill/>
          <a:ln w="9525" cap="flat" cmpd="sng" algn="ctr">
            <a:solidFill>
              <a:schemeClr val="bg1">
                <a:lumMod val="65000"/>
              </a:schemeClr>
            </a:solidFill>
            <a:round/>
          </a:ln>
          <a:effectLst/>
        </c:spPr>
        <c:txPr>
          <a:bodyPr rot="-60000000" spcFirstLastPara="0"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p>
        </c:txPr>
        <c:crossAx val="291185363"/>
        <c:crosses val="autoZero"/>
        <c:auto val="1"/>
        <c:lblAlgn val="ctr"/>
        <c:lblOffset val="100"/>
        <c:noMultiLvlLbl val="0"/>
      </c:catAx>
      <c:valAx>
        <c:axId val="291185363"/>
        <c:scaling>
          <c:orientation val="minMax"/>
        </c:scaling>
        <c:delete val="0"/>
        <c:axPos val="b"/>
        <c:majorGridlines>
          <c:spPr>
            <a:ln w="9525" cap="flat" cmpd="sng" algn="ctr">
              <a:solidFill>
                <a:schemeClr val="bg1">
                  <a:lumMod val="75000"/>
                </a:schemeClr>
              </a:solidFill>
              <a:prstDash val="dash"/>
              <a:round/>
            </a:ln>
            <a:effectLst/>
          </c:spPr>
        </c:majorGridlines>
        <c:numFmt formatCode="0%" sourceLinked="1"/>
        <c:majorTickMark val="none"/>
        <c:minorTickMark val="none"/>
        <c:tickLblPos val="nextTo"/>
        <c:spPr>
          <a:noFill/>
          <a:ln>
            <a:noFill/>
          </a:ln>
          <a:effectLst/>
        </c:spPr>
        <c:txPr>
          <a:bodyPr rot="-60000000" spcFirstLastPara="0" vertOverflow="ellipsis" vert="horz" wrap="square"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crossAx val="115762886"/>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0"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黑体" panose="02010609060101010101" charset="-122"/>
                <a:sym typeface="黑体" panose="02010609060101010101" charset="-122"/>
              </a:defRPr>
            </a:pPr>
          </a:p>
        </c:txPr>
      </c:dTable>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97782152230971"/>
          <c:y val="0.0509259259259259"/>
          <c:w val="0.757127515310586"/>
          <c:h val="0.326801181102362"/>
        </c:manualLayout>
      </c:layout>
      <c:barChart>
        <c:barDir val="bar"/>
        <c:grouping val="percentStacked"/>
        <c:varyColors val="0"/>
        <c:ser>
          <c:idx val="0"/>
          <c:order val="0"/>
          <c:tx>
            <c:strRef>
              <c:f>[Workbook12.xlsx]Sheet1!$A$2</c:f>
              <c:strCache>
                <c:ptCount val="1"/>
                <c:pt idx="0">
                  <c:v>半小时以内</c:v>
                </c:pt>
              </c:strCache>
            </c:strRef>
          </c:tx>
          <c:spPr>
            <a:solidFill>
              <a:schemeClr val="accent1"/>
            </a:solidFill>
            <a:ln>
              <a:solidFill>
                <a:schemeClr val="bg1"/>
              </a:solidFill>
            </a:ln>
            <a:effectLst>
              <a:outerShdw blurRad="38100" dist="12700" dir="5400000" algn="tl" rotWithShape="0">
                <a:prstClr val="black">
                  <a:alpha val="40000"/>
                </a:prstClr>
              </a:outerShdw>
            </a:effectLst>
          </c:spPr>
          <c:invertIfNegative val="0"/>
          <c:dLbls>
            <c:delete val="1"/>
          </c:dLbls>
          <c:cat>
            <c:strRef>
              <c:f>[Workbook12.xlsx]Sheet1!$B$1:$C$1</c:f>
              <c:strCache>
                <c:ptCount val="2"/>
                <c:pt idx="0">
                  <c:v>节假日</c:v>
                </c:pt>
                <c:pt idx="1">
                  <c:v>工作日</c:v>
                </c:pt>
              </c:strCache>
            </c:strRef>
          </c:cat>
          <c:val>
            <c:numRef>
              <c:f>[Workbook12.xlsx]Sheet1!$B$2:$C$2</c:f>
              <c:numCache>
                <c:formatCode>0.0%</c:formatCode>
                <c:ptCount val="2"/>
                <c:pt idx="0">
                  <c:v>0.308341091152454</c:v>
                </c:pt>
                <c:pt idx="1">
                  <c:v>0.659711537143026</c:v>
                </c:pt>
              </c:numCache>
            </c:numRef>
          </c:val>
        </c:ser>
        <c:ser>
          <c:idx val="1"/>
          <c:order val="1"/>
          <c:tx>
            <c:strRef>
              <c:f>[Workbook12.xlsx]Sheet1!$A$3</c:f>
              <c:strCache>
                <c:ptCount val="1"/>
                <c:pt idx="0">
                  <c:v>半小时-1小时</c:v>
                </c:pt>
              </c:strCache>
            </c:strRef>
          </c:tx>
          <c:spPr>
            <a:solidFill>
              <a:schemeClr val="accent2"/>
            </a:solidFill>
            <a:ln>
              <a:solidFill>
                <a:schemeClr val="bg1">
                  <a:lumMod val="95000"/>
                </a:schemeClr>
              </a:solidFill>
            </a:ln>
            <a:effectLst>
              <a:outerShdw blurRad="38100" dist="12700" dir="5400000" algn="tl" rotWithShape="0">
                <a:prstClr val="black">
                  <a:alpha val="40000"/>
                </a:prstClr>
              </a:outerShdw>
            </a:effectLst>
          </c:spPr>
          <c:invertIfNegative val="0"/>
          <c:dLbls>
            <c:delete val="1"/>
          </c:dLbls>
          <c:cat>
            <c:strRef>
              <c:f>[Workbook12.xlsx]Sheet1!$B$1:$C$1</c:f>
              <c:strCache>
                <c:ptCount val="2"/>
                <c:pt idx="0">
                  <c:v>节假日</c:v>
                </c:pt>
                <c:pt idx="1">
                  <c:v>工作日</c:v>
                </c:pt>
              </c:strCache>
            </c:strRef>
          </c:cat>
          <c:val>
            <c:numRef>
              <c:f>[Workbook12.xlsx]Sheet1!$B$3:$C$3</c:f>
              <c:numCache>
                <c:formatCode>0.0%</c:formatCode>
                <c:ptCount val="2"/>
                <c:pt idx="0">
                  <c:v>0.21036329443133</c:v>
                </c:pt>
                <c:pt idx="1">
                  <c:v>0.178150535036084</c:v>
                </c:pt>
              </c:numCache>
            </c:numRef>
          </c:val>
        </c:ser>
        <c:ser>
          <c:idx val="2"/>
          <c:order val="2"/>
          <c:tx>
            <c:strRef>
              <c:f>[Workbook12.xlsx]Sheet1!$A$4</c:f>
              <c:strCache>
                <c:ptCount val="1"/>
                <c:pt idx="0">
                  <c:v>1-2小时</c:v>
                </c:pt>
              </c:strCache>
            </c:strRef>
          </c:tx>
          <c:spPr>
            <a:solidFill>
              <a:schemeClr val="accent3"/>
            </a:solidFill>
            <a:ln>
              <a:solidFill>
                <a:schemeClr val="bg1">
                  <a:lumMod val="95000"/>
                </a:schemeClr>
              </a:solidFill>
            </a:ln>
            <a:effectLst>
              <a:outerShdw blurRad="38100" dist="12700" dir="5400000" algn="tl" rotWithShape="0">
                <a:prstClr val="black">
                  <a:alpha val="40000"/>
                </a:prstClr>
              </a:outerShdw>
            </a:effectLst>
          </c:spPr>
          <c:invertIfNegative val="0"/>
          <c:dLbls>
            <c:delete val="1"/>
          </c:dLbls>
          <c:cat>
            <c:strRef>
              <c:f>[Workbook12.xlsx]Sheet1!$B$1:$C$1</c:f>
              <c:strCache>
                <c:ptCount val="2"/>
                <c:pt idx="0">
                  <c:v>节假日</c:v>
                </c:pt>
                <c:pt idx="1">
                  <c:v>工作日</c:v>
                </c:pt>
              </c:strCache>
            </c:strRef>
          </c:cat>
          <c:val>
            <c:numRef>
              <c:f>[Workbook12.xlsx]Sheet1!$B$4:$C$4</c:f>
              <c:numCache>
                <c:formatCode>0.0%</c:formatCode>
                <c:ptCount val="2"/>
                <c:pt idx="0">
                  <c:v>0.181091889842242</c:v>
                </c:pt>
                <c:pt idx="1">
                  <c:v>0.0754159231547276</c:v>
                </c:pt>
              </c:numCache>
            </c:numRef>
          </c:val>
        </c:ser>
        <c:ser>
          <c:idx val="3"/>
          <c:order val="3"/>
          <c:tx>
            <c:strRef>
              <c:f>[Workbook12.xlsx]Sheet1!$A$5</c:f>
              <c:strCache>
                <c:ptCount val="1"/>
                <c:pt idx="0">
                  <c:v>2-3小时</c:v>
                </c:pt>
              </c:strCache>
            </c:strRef>
          </c:tx>
          <c:spPr>
            <a:solidFill>
              <a:schemeClr val="accent4"/>
            </a:solidFill>
            <a:ln>
              <a:solidFill>
                <a:schemeClr val="bg1">
                  <a:lumMod val="95000"/>
                </a:schemeClr>
              </a:solidFill>
            </a:ln>
            <a:effectLst>
              <a:outerShdw blurRad="38100" dist="12700" dir="5400000" algn="tl" rotWithShape="0">
                <a:prstClr val="black">
                  <a:alpha val="40000"/>
                </a:prstClr>
              </a:outerShdw>
            </a:effectLst>
          </c:spPr>
          <c:invertIfNegative val="0"/>
          <c:dLbls>
            <c:delete val="1"/>
          </c:dLbls>
          <c:cat>
            <c:strRef>
              <c:f>[Workbook12.xlsx]Sheet1!$B$1:$C$1</c:f>
              <c:strCache>
                <c:ptCount val="2"/>
                <c:pt idx="0">
                  <c:v>节假日</c:v>
                </c:pt>
                <c:pt idx="1">
                  <c:v>工作日</c:v>
                </c:pt>
              </c:strCache>
            </c:strRef>
          </c:cat>
          <c:val>
            <c:numRef>
              <c:f>[Workbook12.xlsx]Sheet1!$B$5:$C$5</c:f>
              <c:numCache>
                <c:formatCode>0.0%</c:formatCode>
                <c:ptCount val="2"/>
                <c:pt idx="0">
                  <c:v>0.128722614491987</c:v>
                </c:pt>
                <c:pt idx="1">
                  <c:v>0.0406541237334017</c:v>
                </c:pt>
              </c:numCache>
            </c:numRef>
          </c:val>
        </c:ser>
        <c:ser>
          <c:idx val="4"/>
          <c:order val="4"/>
          <c:tx>
            <c:strRef>
              <c:f>[Workbook12.xlsx]Sheet1!$A$6</c:f>
              <c:strCache>
                <c:ptCount val="1"/>
                <c:pt idx="0">
                  <c:v>3-5小时</c:v>
                </c:pt>
              </c:strCache>
            </c:strRef>
          </c:tx>
          <c:spPr>
            <a:solidFill>
              <a:schemeClr val="accent5"/>
            </a:solidFill>
            <a:ln>
              <a:solidFill>
                <a:schemeClr val="bg1">
                  <a:lumMod val="95000"/>
                </a:schemeClr>
              </a:solidFill>
            </a:ln>
            <a:effectLst>
              <a:outerShdw blurRad="38100" dist="12700" dir="5400000" algn="tl" rotWithShape="0">
                <a:prstClr val="black">
                  <a:alpha val="40000"/>
                </a:prstClr>
              </a:outerShdw>
            </a:effectLst>
          </c:spPr>
          <c:invertIfNegative val="0"/>
          <c:dLbls>
            <c:delete val="1"/>
          </c:dLbls>
          <c:cat>
            <c:strRef>
              <c:f>[Workbook12.xlsx]Sheet1!$B$1:$C$1</c:f>
              <c:strCache>
                <c:ptCount val="2"/>
                <c:pt idx="0">
                  <c:v>节假日</c:v>
                </c:pt>
                <c:pt idx="1">
                  <c:v>工作日</c:v>
                </c:pt>
              </c:strCache>
            </c:strRef>
          </c:cat>
          <c:val>
            <c:numRef>
              <c:f>[Workbook12.xlsx]Sheet1!$B$6:$C$6</c:f>
              <c:numCache>
                <c:formatCode>0.0%</c:formatCode>
                <c:ptCount val="2"/>
                <c:pt idx="0">
                  <c:v>0.0728096954386539</c:v>
                </c:pt>
                <c:pt idx="1">
                  <c:v>0.0203711367931868</c:v>
                </c:pt>
              </c:numCache>
            </c:numRef>
          </c:val>
        </c:ser>
        <c:ser>
          <c:idx val="5"/>
          <c:order val="5"/>
          <c:tx>
            <c:strRef>
              <c:f>[Workbook12.xlsx]Sheet1!$A$7</c:f>
              <c:strCache>
                <c:ptCount val="1"/>
                <c:pt idx="0">
                  <c:v>5小时以上</c:v>
                </c:pt>
              </c:strCache>
            </c:strRef>
          </c:tx>
          <c:spPr>
            <a:solidFill>
              <a:schemeClr val="accent6"/>
            </a:solidFill>
            <a:ln>
              <a:solidFill>
                <a:schemeClr val="bg1">
                  <a:lumMod val="95000"/>
                </a:schemeClr>
              </a:solidFill>
            </a:ln>
            <a:effectLst>
              <a:outerShdw blurRad="38100" dist="12700" dir="5400000" algn="tl" rotWithShape="0">
                <a:prstClr val="black">
                  <a:alpha val="40000"/>
                </a:prstClr>
              </a:outerShdw>
            </a:effectLst>
          </c:spPr>
          <c:invertIfNegative val="0"/>
          <c:dLbls>
            <c:delete val="1"/>
          </c:dLbls>
          <c:cat>
            <c:strRef>
              <c:f>[Workbook12.xlsx]Sheet1!$B$1:$C$1</c:f>
              <c:strCache>
                <c:ptCount val="2"/>
                <c:pt idx="0">
                  <c:v>节假日</c:v>
                </c:pt>
                <c:pt idx="1">
                  <c:v>工作日</c:v>
                </c:pt>
              </c:strCache>
            </c:strRef>
          </c:cat>
          <c:val>
            <c:numRef>
              <c:f>[Workbook12.xlsx]Sheet1!$B$7:$C$7</c:f>
              <c:numCache>
                <c:formatCode>0.0%</c:formatCode>
                <c:ptCount val="2"/>
                <c:pt idx="0">
                  <c:v>0.0986714146433338</c:v>
                </c:pt>
                <c:pt idx="1">
                  <c:v>0.0256967441395733</c:v>
                </c:pt>
              </c:numCache>
            </c:numRef>
          </c:val>
        </c:ser>
        <c:dLbls>
          <c:showLegendKey val="0"/>
          <c:showVal val="1"/>
          <c:showCatName val="0"/>
          <c:showSerName val="0"/>
          <c:showPercent val="0"/>
          <c:showBubbleSize val="0"/>
        </c:dLbls>
        <c:gapWidth val="95"/>
        <c:overlap val="100"/>
        <c:axId val="859515453"/>
        <c:axId val="54823326"/>
      </c:barChart>
      <c:catAx>
        <c:axId val="859515453"/>
        <c:scaling>
          <c:orientation val="minMax"/>
        </c:scaling>
        <c:delete val="0"/>
        <c:axPos val="l"/>
        <c:numFmt formatCode="General" sourceLinked="0"/>
        <c:majorTickMark val="in"/>
        <c:minorTickMark val="none"/>
        <c:tickLblPos val="nextTo"/>
        <c:spPr>
          <a:noFill/>
          <a:ln w="9525" cap="flat" cmpd="sng" algn="ctr">
            <a:solidFill>
              <a:schemeClr val="bg1">
                <a:lumMod val="65000"/>
              </a:schemeClr>
            </a:solidFill>
            <a:round/>
          </a:ln>
          <a:effectLst/>
        </c:spPr>
        <c:txPr>
          <a:bodyPr rot="-60000000" spcFirstLastPara="0"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mn-cs"/>
              </a:defRPr>
            </a:pPr>
          </a:p>
        </c:txPr>
        <c:crossAx val="54823326"/>
        <c:crosses val="autoZero"/>
        <c:auto val="1"/>
        <c:lblAlgn val="ctr"/>
        <c:lblOffset val="100"/>
        <c:noMultiLvlLbl val="0"/>
      </c:catAx>
      <c:valAx>
        <c:axId val="54823326"/>
        <c:scaling>
          <c:orientation val="minMax"/>
        </c:scaling>
        <c:delete val="0"/>
        <c:axPos val="b"/>
        <c:majorGridlines>
          <c:spPr>
            <a:ln w="9525" cap="flat" cmpd="sng" algn="ctr">
              <a:solidFill>
                <a:schemeClr val="tx1">
                  <a:lumMod val="15000"/>
                  <a:lumOff val="85000"/>
                </a:schemeClr>
              </a:solidFill>
              <a:prstDash val="dash"/>
              <a:round/>
            </a:ln>
            <a:effectLst/>
          </c:spPr>
        </c:majorGridlines>
        <c:numFmt formatCode="0%" sourceLinked="1"/>
        <c:majorTickMark val="none"/>
        <c:minorTickMark val="none"/>
        <c:tickLblPos val="nextTo"/>
        <c:spPr>
          <a:noFill/>
          <a:ln>
            <a:noFill/>
          </a:ln>
          <a:effectLst/>
        </c:spPr>
        <c:txPr>
          <a:bodyPr rot="-60000000" spcFirstLastPara="0" vertOverflow="ellipsis" vert="horz" wrap="square"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crossAx val="859515453"/>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0"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黑体" panose="02010609060101010101" charset="-122"/>
                <a:sym typeface="黑体" panose="02010609060101010101" charset="-122"/>
              </a:defRPr>
            </a:pPr>
          </a:p>
        </c:txPr>
      </c:dTable>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solidFill>
            <a:sysClr val="windowText" lastClr="000000"/>
          </a:solidFill>
        </a:defRPr>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75005406932829"/>
          <c:y val="0.0791836220472441"/>
          <c:w val="0.451781570781913"/>
          <c:h val="0.872841994750656"/>
        </c:manualLayout>
      </c:layout>
      <c:pieChart>
        <c:varyColors val="1"/>
        <c:ser>
          <c:idx val="0"/>
          <c:order val="0"/>
          <c:tx>
            <c:strRef>
              <c:f>Sheet1!$B$1</c:f>
              <c:strCache>
                <c:ptCount val="1"/>
                <c:pt idx="0">
                  <c:v>列2</c:v>
                </c:pt>
              </c:strCache>
            </c:strRef>
          </c:tx>
          <c:spPr>
            <a:solidFill>
              <a:srgbClr val="558ED5"/>
            </a:solidFill>
            <a:ln w="9525" cap="flat" cmpd="sng" algn="ctr">
              <a:solidFill>
                <a:srgbClr val="FFFFFF"/>
              </a:solidFill>
              <a:prstDash val="solid"/>
              <a:round/>
            </a:ln>
          </c:spPr>
          <c:explosion val="0"/>
          <c:dPt>
            <c:idx val="0"/>
            <c:bubble3D val="0"/>
            <c:spPr>
              <a:solidFill>
                <a:srgbClr val="558ED5"/>
              </a:solidFill>
              <a:ln w="9525" cap="flat" cmpd="sng" algn="ctr">
                <a:solidFill>
                  <a:srgbClr val="FFFFFF"/>
                </a:solidFill>
                <a:prstDash val="solid"/>
                <a:round/>
              </a:ln>
            </c:spPr>
          </c:dPt>
          <c:dPt>
            <c:idx val="1"/>
            <c:bubble3D val="0"/>
            <c:spPr>
              <a:solidFill>
                <a:srgbClr val="C6D9F1"/>
              </a:solidFill>
              <a:ln w="9525" cap="flat" cmpd="sng" algn="ctr">
                <a:solidFill>
                  <a:srgbClr val="FFFFFF"/>
                </a:solidFill>
                <a:prstDash val="solid"/>
                <a:round/>
              </a:ln>
            </c:spPr>
          </c:dPt>
          <c:dPt>
            <c:idx val="2"/>
            <c:bubble3D val="0"/>
            <c:spPr>
              <a:solidFill>
                <a:srgbClr val="4F81BD">
                  <a:lumMod val="60000"/>
                  <a:lumOff val="40000"/>
                </a:srgbClr>
              </a:solidFill>
              <a:ln w="9525" cap="flat" cmpd="sng" algn="ctr">
                <a:solidFill>
                  <a:srgbClr val="FFFFFF"/>
                </a:solidFill>
                <a:prstDash val="solid"/>
                <a:round/>
              </a:ln>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Arial" panose="020B0604020202020204" pitchFamily="2" charset="0"/>
                    <a:ea typeface="黑体" panose="02010609060101010101" charset="-122"/>
                    <a:cs typeface="Arial" panose="020B0604020202020204" pitchFamily="2" charset="0"/>
                  </a:defRPr>
                </a:pPr>
              </a:p>
            </c:txPr>
            <c:dLblPos val="bestFit"/>
            <c:showLegendKey val="0"/>
            <c:showVal val="1"/>
            <c:showCatName val="1"/>
            <c:showSerName val="0"/>
            <c:showPercent val="0"/>
            <c:showBubbleSize val="0"/>
            <c:separator>
</c:separator>
            <c:showLeaderLines val="1"/>
            <c:extLst>
              <c:ext xmlns:c15="http://schemas.microsoft.com/office/drawing/2012/chart" uri="{CE6537A1-D6FC-4f65-9D91-7224C49458BB}">
                <c15:layout/>
                <c15:showLeaderLines val="1"/>
                <c15:leaderLines/>
              </c:ext>
            </c:extLst>
          </c:dLbls>
          <c:cat>
            <c:strRef>
              <c:f>Sheet1!$A$2:$A$4</c:f>
              <c:strCache>
                <c:ptCount val="3"/>
                <c:pt idx="0">
                  <c:v>不限制</c:v>
                </c:pt>
                <c:pt idx="1">
                  <c:v>有时候限制</c:v>
                </c:pt>
                <c:pt idx="2">
                  <c:v>经常限制</c:v>
                </c:pt>
              </c:strCache>
            </c:strRef>
          </c:cat>
          <c:val>
            <c:numRef>
              <c:f>Sheet1!$B$2:$B$4</c:f>
              <c:numCache>
                <c:formatCode>0.0%</c:formatCode>
                <c:ptCount val="3"/>
                <c:pt idx="0">
                  <c:v>0.0837791020527989</c:v>
                </c:pt>
                <c:pt idx="1">
                  <c:v>0.452830367652025</c:v>
                </c:pt>
                <c:pt idx="2">
                  <c:v>0.463390530295176</c:v>
                </c:pt>
              </c:numCache>
            </c:numRef>
          </c:val>
        </c:ser>
        <c:dLbls>
          <c:showLegendKey val="0"/>
          <c:showVal val="0"/>
          <c:showCatName val="0"/>
          <c:showSerName val="0"/>
          <c:showPercent val="0"/>
          <c:showBubbleSize val="0"/>
          <c:showLeaderLines val="1"/>
        </c:dLbls>
        <c:firstSliceAng val="45"/>
      </c:pieChart>
      <c:spPr>
        <a:noFill/>
        <a:ln w="12700">
          <a:noFill/>
        </a:ln>
      </c:spPr>
    </c:plotArea>
    <c:plotVisOnly val="1"/>
    <c:dispBlanksAs val="zero"/>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60408424556687"/>
          <c:y val="0.118026412706317"/>
          <c:w val="0.801630936643901"/>
          <c:h val="0.726026163725582"/>
        </c:manualLayout>
      </c:layout>
      <c:barChart>
        <c:barDir val="bar"/>
        <c:grouping val="clustered"/>
        <c:varyColors val="0"/>
        <c:ser>
          <c:idx val="0"/>
          <c:order val="0"/>
          <c:tx>
            <c:strRef>
              <c:f>Sheet1!$B$1</c:f>
              <c:strCache>
                <c:ptCount val="1"/>
                <c:pt idx="0">
                  <c:v>城镇</c:v>
                </c:pt>
              </c:strCache>
            </c:strRef>
          </c:tx>
          <c:spPr>
            <a:solidFill>
              <a:srgbClr val="5B9BD5"/>
            </a:solidFill>
          </c:spPr>
          <c:invertIfNegative val="0"/>
          <c:dLbls>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Sheet1!$A$2:$A$4</c:f>
              <c:strCache>
                <c:ptCount val="3"/>
                <c:pt idx="0">
                  <c:v>经常限制</c:v>
                </c:pt>
                <c:pt idx="1">
                  <c:v>有时候限制</c:v>
                </c:pt>
                <c:pt idx="2">
                  <c:v>不限制</c:v>
                </c:pt>
              </c:strCache>
            </c:strRef>
          </c:cat>
          <c:val>
            <c:numRef>
              <c:f>Sheet1!$B$2:$B$4</c:f>
              <c:numCache>
                <c:formatCode>0.0%</c:formatCode>
                <c:ptCount val="3"/>
                <c:pt idx="0">
                  <c:v>0.487252719323512</c:v>
                </c:pt>
                <c:pt idx="1">
                  <c:v>0.431619155120954</c:v>
                </c:pt>
                <c:pt idx="2">
                  <c:v>0.081128125555534</c:v>
                </c:pt>
              </c:numCache>
            </c:numRef>
          </c:val>
        </c:ser>
        <c:ser>
          <c:idx val="1"/>
          <c:order val="1"/>
          <c:tx>
            <c:strRef>
              <c:f>Sheet1!$C$1</c:f>
              <c:strCache>
                <c:ptCount val="1"/>
                <c:pt idx="0">
                  <c:v>农村</c:v>
                </c:pt>
              </c:strCache>
            </c:strRef>
          </c:tx>
          <c:spPr>
            <a:solidFill>
              <a:srgbClr val="FF0000">
                <a:alpha val="70000"/>
              </a:srgbClr>
            </a:solidFill>
          </c:spPr>
          <c:invertIfNegative val="0"/>
          <c:dLbls>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Sheet1!$A$2:$A$4</c:f>
              <c:strCache>
                <c:ptCount val="3"/>
                <c:pt idx="0">
                  <c:v>经常限制</c:v>
                </c:pt>
                <c:pt idx="1">
                  <c:v>有时候限制</c:v>
                </c:pt>
                <c:pt idx="2">
                  <c:v>不限制</c:v>
                </c:pt>
              </c:strCache>
            </c:strRef>
          </c:cat>
          <c:val>
            <c:numRef>
              <c:f>Sheet1!$C$2:$C$4</c:f>
              <c:numCache>
                <c:formatCode>0.0%</c:formatCode>
                <c:ptCount val="3"/>
                <c:pt idx="0">
                  <c:v>0.382957006204768</c:v>
                </c:pt>
                <c:pt idx="1">
                  <c:v>0.523924873170547</c:v>
                </c:pt>
                <c:pt idx="2">
                  <c:v>0.0931181206246849</c:v>
                </c:pt>
              </c:numCache>
            </c:numRef>
          </c:val>
        </c:ser>
        <c:dLbls>
          <c:showLegendKey val="0"/>
          <c:showVal val="0"/>
          <c:showCatName val="0"/>
          <c:showSerName val="0"/>
          <c:showPercent val="0"/>
          <c:showBubbleSize val="0"/>
        </c:dLbls>
        <c:gapWidth val="100"/>
        <c:axId val="400773888"/>
        <c:axId val="400775424"/>
      </c:barChart>
      <c:catAx>
        <c:axId val="400773888"/>
        <c:scaling>
          <c:orientation val="maxMin"/>
        </c:scaling>
        <c:delete val="0"/>
        <c:axPos val="l"/>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00775424"/>
        <c:crosses val="autoZero"/>
        <c:auto val="1"/>
        <c:lblAlgn val="ctr"/>
        <c:lblOffset val="100"/>
        <c:noMultiLvlLbl val="0"/>
      </c:catAx>
      <c:valAx>
        <c:axId val="400775424"/>
        <c:scaling>
          <c:orientation val="minMax"/>
        </c:scaling>
        <c:delete val="0"/>
        <c:axPos val="t"/>
        <c:majorGridlines>
          <c:spPr>
            <a:ln w="9525" cap="flat" cmpd="sng" algn="ctr">
              <a:solidFill>
                <a:sysClr val="window" lastClr="FFFFFF">
                  <a:lumMod val="85000"/>
                </a:sysClr>
              </a:solidFill>
              <a:prstDash val="dash"/>
              <a:round/>
            </a:ln>
          </c:spPr>
        </c:majorGridlines>
        <c:numFmt formatCode="0%" sourceLinked="0"/>
        <c:majorTickMark val="in"/>
        <c:minorTickMark val="none"/>
        <c:tickLblPos val="nextTo"/>
        <c:spPr>
          <a:ln w="9525"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00773888"/>
        <c:crosses val="autoZero"/>
        <c:crossBetween val="between"/>
        <c:majorUnit val="0.1"/>
      </c:valAx>
      <c:spPr>
        <a:noFill/>
        <a:ln w="12700">
          <a:noFill/>
        </a:ln>
      </c:spPr>
    </c:plotArea>
    <c:legend>
      <c:legendPos val="b"/>
      <c:layout>
        <c:manualLayout>
          <c:xMode val="edge"/>
          <c:yMode val="edge"/>
          <c:x val="0.265683588331946"/>
          <c:y val="0.88249727677321"/>
          <c:w val="0.464967824967829"/>
          <c:h val="0.0883931405807476"/>
        </c:manualLayout>
      </c:layout>
      <c:overlay val="0"/>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legend>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80526455932139"/>
          <c:y val="0.137850288713911"/>
          <c:w val="0.391050031789505"/>
          <c:h val="0.755508661417323"/>
        </c:manualLayout>
      </c:layout>
      <c:pieChart>
        <c:varyColors val="1"/>
        <c:ser>
          <c:idx val="0"/>
          <c:order val="0"/>
          <c:tx>
            <c:strRef>
              <c:f>Sheet1!$B$1</c:f>
              <c:strCache>
                <c:ptCount val="1"/>
                <c:pt idx="0">
                  <c:v>列2</c:v>
                </c:pt>
              </c:strCache>
            </c:strRef>
          </c:tx>
          <c:spPr>
            <a:solidFill>
              <a:srgbClr val="558ED5"/>
            </a:solidFill>
            <a:ln w="9525" cap="flat" cmpd="sng" algn="ctr">
              <a:solidFill>
                <a:srgbClr val="FFFFFF"/>
              </a:solidFill>
              <a:prstDash val="solid"/>
              <a:round/>
            </a:ln>
          </c:spPr>
          <c:explosion val="0"/>
          <c:dPt>
            <c:idx val="0"/>
            <c:bubble3D val="0"/>
            <c:spPr>
              <a:solidFill>
                <a:srgbClr val="558ED5"/>
              </a:solidFill>
              <a:ln w="9525" cap="flat" cmpd="sng" algn="ctr">
                <a:solidFill>
                  <a:srgbClr val="FFFFFF"/>
                </a:solidFill>
                <a:prstDash val="solid"/>
                <a:round/>
              </a:ln>
            </c:spPr>
          </c:dPt>
          <c:dPt>
            <c:idx val="1"/>
            <c:bubble3D val="0"/>
            <c:spPr>
              <a:solidFill>
                <a:srgbClr val="C6D9F1"/>
              </a:solidFill>
              <a:ln w="9525" cap="flat" cmpd="sng" algn="ctr">
                <a:solidFill>
                  <a:srgbClr val="FFFFFF"/>
                </a:solidFill>
                <a:prstDash val="solid"/>
                <a:round/>
              </a:ln>
            </c:spPr>
          </c:dPt>
          <c:dPt>
            <c:idx val="2"/>
            <c:bubble3D val="0"/>
            <c:spPr>
              <a:solidFill>
                <a:srgbClr val="4F81BD">
                  <a:lumMod val="60000"/>
                  <a:lumOff val="40000"/>
                </a:srgbClr>
              </a:solidFill>
              <a:ln w="9525" cap="flat" cmpd="sng" algn="ctr">
                <a:solidFill>
                  <a:srgbClr val="FFFFFF"/>
                </a:solidFill>
                <a:prstDash val="solid"/>
                <a:round/>
              </a:ln>
            </c:spPr>
          </c:dPt>
          <c:dPt>
            <c:idx val="3"/>
            <c:bubble3D val="0"/>
            <c:spPr>
              <a:solidFill>
                <a:srgbClr val="1F497D">
                  <a:lumMod val="40000"/>
                  <a:lumOff val="60000"/>
                </a:srgbClr>
              </a:solidFill>
              <a:ln w="9525" cap="flat" cmpd="sng" algn="ctr">
                <a:solidFill>
                  <a:srgbClr val="FFFFFF"/>
                </a:solidFill>
                <a:prstDash val="solid"/>
                <a:round/>
              </a:ln>
            </c:spPr>
          </c:dPt>
          <c:dLbls>
            <c:dLbl>
              <c:idx val="2"/>
              <c:layout>
                <c:manualLayout>
                  <c:x val="-0.0504934709248301"/>
                  <c:y val="0"/>
                </c:manualLayout>
              </c:layout>
              <c:dLblPos val="bestFit"/>
              <c:showLegendKey val="0"/>
              <c:showVal val="1"/>
              <c:showCatName val="1"/>
              <c:showSerName val="0"/>
              <c:showPercent val="0"/>
              <c:showBubbleSize val="0"/>
              <c:separator>
</c:separator>
              <c:extLst>
                <c:ext xmlns:c15="http://schemas.microsoft.com/office/drawing/2012/chart" uri="{CE6537A1-D6FC-4f65-9D91-7224C49458BB}">
                  <c15:layout/>
                </c:ext>
              </c:extLst>
            </c:dLbl>
            <c:dLbl>
              <c:idx val="3"/>
              <c:layout>
                <c:manualLayout>
                  <c:x val="0.0434276150263825"/>
                  <c:y val="0.032965459317585"/>
                </c:manualLayout>
              </c:layout>
              <c:dLblPos val="bestFit"/>
              <c:showLegendKey val="0"/>
              <c:showVal val="1"/>
              <c:showCatName val="1"/>
              <c:showSerName val="0"/>
              <c:showPercent val="0"/>
              <c:showBubbleSize val="0"/>
              <c:separator>
</c:separator>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Arial" panose="020B0604020202020204" pitchFamily="2" charset="0"/>
                    <a:ea typeface="黑体" panose="02010609060101010101" charset="-122"/>
                    <a:cs typeface="Arial" panose="020B0604020202020204" pitchFamily="2" charset="0"/>
                  </a:defRPr>
                </a:pPr>
              </a:p>
            </c:txPr>
            <c:dLblPos val="bestFit"/>
            <c:showLegendKey val="0"/>
            <c:showVal val="1"/>
            <c:showCatName val="1"/>
            <c:showSerName val="0"/>
            <c:showPercent val="0"/>
            <c:showBubbleSize val="0"/>
            <c:separator>
</c:separator>
            <c:showLeaderLines val="1"/>
            <c:extLst>
              <c:ext xmlns:c15="http://schemas.microsoft.com/office/drawing/2012/chart" uri="{CE6537A1-D6FC-4f65-9D91-7224C49458BB}">
                <c15:layout/>
                <c15:showLeaderLines val="1"/>
                <c15:leaderLines/>
              </c:ext>
            </c:extLst>
          </c:dLbls>
          <c:cat>
            <c:strRef>
              <c:f>Sheet1!$A$2:$A$5</c:f>
              <c:strCache>
                <c:ptCount val="4"/>
                <c:pt idx="0">
                  <c:v>孩子上网的时间太长了</c:v>
                </c:pt>
                <c:pt idx="1">
                  <c:v>孩子上网时间符合我的要求</c:v>
                </c:pt>
                <c:pt idx="2">
                  <c:v>我禁止我的孩子上网</c:v>
                </c:pt>
                <c:pt idx="3">
                  <c:v>我不懂/不知道孩子上不上网</c:v>
                </c:pt>
              </c:strCache>
            </c:strRef>
          </c:cat>
          <c:val>
            <c:numRef>
              <c:f>Sheet1!$B$2:$B$5</c:f>
              <c:numCache>
                <c:formatCode>0.0%</c:formatCode>
                <c:ptCount val="4"/>
                <c:pt idx="0">
                  <c:v>0.273139403097847</c:v>
                </c:pt>
                <c:pt idx="1">
                  <c:v>0.599319984888553</c:v>
                </c:pt>
                <c:pt idx="2">
                  <c:v>0.112580279561768</c:v>
                </c:pt>
                <c:pt idx="3">
                  <c:v>0.0149603324518323</c:v>
                </c:pt>
              </c:numCache>
            </c:numRef>
          </c:val>
        </c:ser>
        <c:dLbls>
          <c:showLegendKey val="0"/>
          <c:showVal val="0"/>
          <c:showCatName val="0"/>
          <c:showSerName val="0"/>
          <c:showPercent val="0"/>
          <c:showBubbleSize val="0"/>
          <c:showLeaderLines val="1"/>
        </c:dLbls>
        <c:firstSliceAng val="45"/>
      </c:pieChart>
      <c:spPr>
        <a:noFill/>
        <a:ln w="12700">
          <a:noFill/>
        </a:ln>
      </c:spPr>
    </c:plotArea>
    <c:plotVisOnly val="1"/>
    <c:dispBlanksAs val="zero"/>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72244882433174"/>
          <c:y val="0.0685169553805774"/>
          <c:w val="0.443499997282948"/>
          <c:h val="0.856841994750656"/>
        </c:manualLayout>
      </c:layout>
      <c:pieChart>
        <c:varyColors val="1"/>
        <c:ser>
          <c:idx val="0"/>
          <c:order val="0"/>
          <c:tx>
            <c:strRef>
              <c:f>Sheet1!$B$1</c:f>
              <c:strCache>
                <c:ptCount val="1"/>
                <c:pt idx="0">
                  <c:v>列2</c:v>
                </c:pt>
              </c:strCache>
            </c:strRef>
          </c:tx>
          <c:spPr>
            <a:solidFill>
              <a:srgbClr val="558ED5"/>
            </a:solidFill>
            <a:ln w="9525" cap="flat" cmpd="sng" algn="ctr">
              <a:solidFill>
                <a:srgbClr val="FFFFFF"/>
              </a:solidFill>
              <a:prstDash val="solid"/>
              <a:round/>
            </a:ln>
          </c:spPr>
          <c:explosion val="0"/>
          <c:dPt>
            <c:idx val="0"/>
            <c:bubble3D val="0"/>
            <c:spPr>
              <a:solidFill>
                <a:srgbClr val="558ED5"/>
              </a:solidFill>
              <a:ln w="9525" cap="flat" cmpd="sng" algn="ctr">
                <a:solidFill>
                  <a:srgbClr val="FFFFFF"/>
                </a:solidFill>
                <a:prstDash val="solid"/>
                <a:round/>
              </a:ln>
            </c:spPr>
          </c:dPt>
          <c:dPt>
            <c:idx val="1"/>
            <c:bubble3D val="0"/>
            <c:spPr>
              <a:solidFill>
                <a:srgbClr val="C6D9F1"/>
              </a:solidFill>
              <a:ln w="9525" cap="flat" cmpd="sng" algn="ctr">
                <a:solidFill>
                  <a:srgbClr val="FFFFFF"/>
                </a:solidFill>
                <a:prstDash val="solid"/>
                <a:round/>
              </a:ln>
            </c:spPr>
          </c:dPt>
          <c:dPt>
            <c:idx val="2"/>
            <c:bubble3D val="0"/>
            <c:spPr>
              <a:solidFill>
                <a:srgbClr val="4F81BD">
                  <a:lumMod val="60000"/>
                  <a:lumOff val="40000"/>
                </a:srgbClr>
              </a:solidFill>
              <a:ln w="9525" cap="flat" cmpd="sng" algn="ctr">
                <a:solidFill>
                  <a:srgbClr val="FFFFFF"/>
                </a:solidFill>
                <a:prstDash val="solid"/>
                <a:round/>
              </a:ln>
            </c:spPr>
          </c:dPt>
          <c:dPt>
            <c:idx val="3"/>
            <c:bubble3D val="0"/>
            <c:spPr>
              <a:solidFill>
                <a:srgbClr val="1F497D">
                  <a:lumMod val="40000"/>
                  <a:lumOff val="60000"/>
                </a:srgbClr>
              </a:solidFill>
              <a:ln w="9525" cap="flat" cmpd="sng" algn="ctr">
                <a:solidFill>
                  <a:srgbClr val="FFFFFF"/>
                </a:solidFill>
                <a:prstDash val="solid"/>
                <a:round/>
              </a:ln>
            </c:spPr>
          </c:dPt>
          <c:dPt>
            <c:idx val="4"/>
            <c:bubble3D val="0"/>
            <c:spPr>
              <a:solidFill>
                <a:srgbClr val="4F81BD">
                  <a:lumMod val="40000"/>
                  <a:lumOff val="60000"/>
                </a:srgbClr>
              </a:solidFill>
              <a:ln w="9525" cap="flat" cmpd="sng" algn="ctr">
                <a:solidFill>
                  <a:srgbClr val="FFFFFF"/>
                </a:solidFill>
                <a:prstDash val="solid"/>
                <a:round/>
              </a:ln>
            </c:spPr>
          </c:dPt>
          <c:dLbls>
            <c:dLbl>
              <c:idx val="0"/>
              <c:layout>
                <c:manualLayout>
                  <c:x val="-0.0205022198312169"/>
                  <c:y val="0.033950656167979"/>
                </c:manualLayout>
              </c:layout>
              <c:dLblPos val="bestFit"/>
              <c:showLegendKey val="0"/>
              <c:showVal val="1"/>
              <c:showCatName val="1"/>
              <c:showSerName val="0"/>
              <c:showPercent val="0"/>
              <c:showBubbleSize val="0"/>
              <c:separator>
</c:separator>
              <c:extLst>
                <c:ext xmlns:c15="http://schemas.microsoft.com/office/drawing/2012/chart" uri="{CE6537A1-D6FC-4f65-9D91-7224C49458BB}">
                  <c15:layout/>
                </c:ext>
              </c:extLst>
            </c:dLbl>
            <c:dLbl>
              <c:idx val="4"/>
              <c:layout>
                <c:manualLayout>
                  <c:x val="-0.072373779364536"/>
                  <c:y val="0.124204934383202"/>
                </c:manualLayout>
              </c:layout>
              <c:dLblPos val="bestFit"/>
              <c:showLegendKey val="0"/>
              <c:showVal val="1"/>
              <c:showCatName val="1"/>
              <c:showSerName val="0"/>
              <c:showPercent val="0"/>
              <c:showBubbleSize val="0"/>
              <c:separator>
</c:separator>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Arial" panose="020B0604020202020204" pitchFamily="2" charset="0"/>
                    <a:ea typeface="黑体" panose="02010609060101010101" charset="-122"/>
                    <a:cs typeface="Arial" panose="020B0604020202020204" pitchFamily="2" charset="0"/>
                  </a:defRPr>
                </a:pPr>
              </a:p>
            </c:txPr>
            <c:dLblPos val="bestFit"/>
            <c:showLegendKey val="0"/>
            <c:showVal val="1"/>
            <c:showCatName val="1"/>
            <c:showSerName val="0"/>
            <c:showPercent val="0"/>
            <c:showBubbleSize val="0"/>
            <c:separator>
</c:separator>
            <c:showLeaderLines val="1"/>
            <c:extLst>
              <c:ext xmlns:c15="http://schemas.microsoft.com/office/drawing/2012/chart" uri="{CE6537A1-D6FC-4f65-9D91-7224C49458BB}">
                <c15:layout/>
                <c15:showLeaderLines val="1"/>
                <c15:leaderLines/>
              </c:ext>
            </c:extLst>
          </c:dLbls>
          <c:cat>
            <c:strRef>
              <c:f>Sheet1!$A$2:$A$6</c:f>
              <c:strCache>
                <c:ptCount val="5"/>
                <c:pt idx="0">
                  <c:v>非常依赖</c:v>
                </c:pt>
                <c:pt idx="1">
                  <c:v>比较依赖</c:v>
                </c:pt>
                <c:pt idx="2">
                  <c:v>一般</c:v>
                </c:pt>
                <c:pt idx="3">
                  <c:v>不太依赖</c:v>
                </c:pt>
                <c:pt idx="4">
                  <c:v>完全不依赖</c:v>
                </c:pt>
              </c:strCache>
            </c:strRef>
          </c:cat>
          <c:val>
            <c:numRef>
              <c:f>Sheet1!$B$2:$B$6</c:f>
              <c:numCache>
                <c:formatCode>0.0%</c:formatCode>
                <c:ptCount val="5"/>
                <c:pt idx="0">
                  <c:v>0.0558408341590659</c:v>
                </c:pt>
                <c:pt idx="1">
                  <c:v>0.138964702442625</c:v>
                </c:pt>
                <c:pt idx="2">
                  <c:v>0.385074951453087</c:v>
                </c:pt>
                <c:pt idx="3">
                  <c:v>0.226657625758197</c:v>
                </c:pt>
                <c:pt idx="4">
                  <c:v>0.193461886187026</c:v>
                </c:pt>
              </c:numCache>
            </c:numRef>
          </c:val>
        </c:ser>
        <c:dLbls>
          <c:showLegendKey val="0"/>
          <c:showVal val="0"/>
          <c:showCatName val="0"/>
          <c:showSerName val="0"/>
          <c:showPercent val="0"/>
          <c:showBubbleSize val="0"/>
          <c:showLeaderLines val="1"/>
        </c:dLbls>
        <c:firstSliceAng val="45"/>
      </c:pieChart>
      <c:spPr>
        <a:noFill/>
        <a:ln w="12700">
          <a:noFill/>
        </a:ln>
      </c:spPr>
    </c:plotArea>
    <c:plotVisOnly val="1"/>
    <c:dispBlanksAs val="zero"/>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percentStacked"/>
        <c:varyColors val="0"/>
        <c:ser>
          <c:idx val="0"/>
          <c:order val="0"/>
          <c:tx>
            <c:strRef>
              <c:f>Sheet1!$B$15</c:f>
              <c:strCache>
                <c:ptCount val="1"/>
                <c:pt idx="0">
                  <c:v>非常依赖</c:v>
                </c:pt>
              </c:strCache>
            </c:strRef>
          </c:tx>
          <c:spPr>
            <a:solidFill>
              <a:schemeClr val="accent1"/>
            </a:solidFill>
            <a:ln w="12700">
              <a:solidFill>
                <a:schemeClr val="bg1">
                  <a:lumMod val="95000"/>
                </a:schemeClr>
              </a:solidFill>
            </a:ln>
            <a:effectLst>
              <a:outerShdw blurRad="38100" dist="12700" dir="5400000" algn="tl" rotWithShape="0">
                <a:prstClr val="black">
                  <a:alpha val="40000"/>
                </a:prstClr>
              </a:outerShdw>
            </a:effectLst>
            <a:sp3d contourW="12700"/>
          </c:spPr>
          <c:invertIfNegative val="0"/>
          <c:dLbls>
            <c:delete val="1"/>
          </c:dLbls>
          <c:cat>
            <c:strRef>
              <c:f>Sheet1!$C$14:$E$14</c:f>
              <c:strCache>
                <c:ptCount val="3"/>
                <c:pt idx="0">
                  <c:v>不限制</c:v>
                </c:pt>
                <c:pt idx="1">
                  <c:v>有时候限制</c:v>
                </c:pt>
                <c:pt idx="2">
                  <c:v>经常限制</c:v>
                </c:pt>
              </c:strCache>
            </c:strRef>
          </c:cat>
          <c:val>
            <c:numRef>
              <c:f>Sheet1!$C$15:$E$15</c:f>
              <c:numCache>
                <c:formatCode>0.0%</c:formatCode>
                <c:ptCount val="3"/>
                <c:pt idx="0">
                  <c:v>0.198908629714578</c:v>
                </c:pt>
                <c:pt idx="1">
                  <c:v>0.0584172499002185</c:v>
                </c:pt>
                <c:pt idx="2">
                  <c:v>0.0272580468173577</c:v>
                </c:pt>
              </c:numCache>
            </c:numRef>
          </c:val>
        </c:ser>
        <c:ser>
          <c:idx val="1"/>
          <c:order val="1"/>
          <c:tx>
            <c:strRef>
              <c:f>Sheet1!$B$16</c:f>
              <c:strCache>
                <c:ptCount val="1"/>
                <c:pt idx="0">
                  <c:v>比较依赖</c:v>
                </c:pt>
              </c:strCache>
            </c:strRef>
          </c:tx>
          <c:spPr>
            <a:solidFill>
              <a:schemeClr val="accent2"/>
            </a:solidFill>
            <a:ln w="12700">
              <a:solidFill>
                <a:schemeClr val="bg1">
                  <a:lumMod val="95000"/>
                </a:schemeClr>
              </a:solidFill>
            </a:ln>
            <a:effectLst>
              <a:outerShdw blurRad="38100" dist="12700" dir="5400000" algn="tl" rotWithShape="0">
                <a:prstClr val="black">
                  <a:alpha val="40000"/>
                </a:prstClr>
              </a:outerShdw>
            </a:effectLst>
            <a:sp3d contourW="12700"/>
          </c:spPr>
          <c:invertIfNegative val="0"/>
          <c:dLbls>
            <c:delete val="1"/>
          </c:dLbls>
          <c:cat>
            <c:strRef>
              <c:f>Sheet1!$C$14:$E$14</c:f>
              <c:strCache>
                <c:ptCount val="3"/>
                <c:pt idx="0">
                  <c:v>不限制</c:v>
                </c:pt>
                <c:pt idx="1">
                  <c:v>有时候限制</c:v>
                </c:pt>
                <c:pt idx="2">
                  <c:v>经常限制</c:v>
                </c:pt>
              </c:strCache>
            </c:strRef>
          </c:cat>
          <c:val>
            <c:numRef>
              <c:f>Sheet1!$C$16:$E$16</c:f>
              <c:numCache>
                <c:formatCode>0.0%</c:formatCode>
                <c:ptCount val="3"/>
                <c:pt idx="0">
                  <c:v>0.175041808526258</c:v>
                </c:pt>
                <c:pt idx="1">
                  <c:v>0.200608254291583</c:v>
                </c:pt>
                <c:pt idx="2">
                  <c:v>0.0724586773718265</c:v>
                </c:pt>
              </c:numCache>
            </c:numRef>
          </c:val>
        </c:ser>
        <c:ser>
          <c:idx val="2"/>
          <c:order val="2"/>
          <c:tx>
            <c:strRef>
              <c:f>Sheet1!$B$17</c:f>
              <c:strCache>
                <c:ptCount val="1"/>
                <c:pt idx="0">
                  <c:v>一般</c:v>
                </c:pt>
              </c:strCache>
            </c:strRef>
          </c:tx>
          <c:spPr>
            <a:solidFill>
              <a:schemeClr val="accent3"/>
            </a:solidFill>
            <a:ln w="12700">
              <a:solidFill>
                <a:schemeClr val="bg1">
                  <a:lumMod val="95000"/>
                </a:schemeClr>
              </a:solidFill>
            </a:ln>
            <a:effectLst>
              <a:outerShdw blurRad="38100" dist="12700" dir="5400000" algn="tl" rotWithShape="0">
                <a:prstClr val="black">
                  <a:alpha val="40000"/>
                </a:prstClr>
              </a:outerShdw>
            </a:effectLst>
            <a:sp3d contourW="12700"/>
          </c:spPr>
          <c:invertIfNegative val="0"/>
          <c:dLbls>
            <c:delete val="1"/>
          </c:dLbls>
          <c:cat>
            <c:strRef>
              <c:f>Sheet1!$C$14:$E$14</c:f>
              <c:strCache>
                <c:ptCount val="3"/>
                <c:pt idx="0">
                  <c:v>不限制</c:v>
                </c:pt>
                <c:pt idx="1">
                  <c:v>有时候限制</c:v>
                </c:pt>
                <c:pt idx="2">
                  <c:v>经常限制</c:v>
                </c:pt>
              </c:strCache>
            </c:strRef>
          </c:cat>
          <c:val>
            <c:numRef>
              <c:f>Sheet1!$C$17:$E$17</c:f>
              <c:numCache>
                <c:formatCode>0.0%</c:formatCode>
                <c:ptCount val="3"/>
                <c:pt idx="0">
                  <c:v>0.32687515504865</c:v>
                </c:pt>
                <c:pt idx="1">
                  <c:v>0.482764398387983</c:v>
                </c:pt>
                <c:pt idx="2">
                  <c:v>0.301298232122244</c:v>
                </c:pt>
              </c:numCache>
            </c:numRef>
          </c:val>
        </c:ser>
        <c:ser>
          <c:idx val="3"/>
          <c:order val="3"/>
          <c:tx>
            <c:strRef>
              <c:f>Sheet1!$B$18</c:f>
              <c:strCache>
                <c:ptCount val="1"/>
                <c:pt idx="0">
                  <c:v>不太依赖</c:v>
                </c:pt>
              </c:strCache>
            </c:strRef>
          </c:tx>
          <c:spPr>
            <a:solidFill>
              <a:schemeClr val="accent4"/>
            </a:solidFill>
            <a:ln w="12700">
              <a:solidFill>
                <a:schemeClr val="bg1">
                  <a:lumMod val="95000"/>
                </a:schemeClr>
              </a:solidFill>
            </a:ln>
            <a:effectLst>
              <a:outerShdw blurRad="38100" dist="12700" dir="5400000" algn="tl" rotWithShape="0">
                <a:prstClr val="black">
                  <a:alpha val="40000"/>
                </a:prstClr>
              </a:outerShdw>
            </a:effectLst>
            <a:sp3d contourW="12700"/>
          </c:spPr>
          <c:invertIfNegative val="0"/>
          <c:dLbls>
            <c:delete val="1"/>
          </c:dLbls>
          <c:cat>
            <c:strRef>
              <c:f>Sheet1!$C$14:$E$14</c:f>
              <c:strCache>
                <c:ptCount val="3"/>
                <c:pt idx="0">
                  <c:v>不限制</c:v>
                </c:pt>
                <c:pt idx="1">
                  <c:v>有时候限制</c:v>
                </c:pt>
                <c:pt idx="2">
                  <c:v>经常限制</c:v>
                </c:pt>
              </c:strCache>
            </c:strRef>
          </c:cat>
          <c:val>
            <c:numRef>
              <c:f>Sheet1!$C$18:$E$18</c:f>
              <c:numCache>
                <c:formatCode>0.0%</c:formatCode>
                <c:ptCount val="3"/>
                <c:pt idx="0">
                  <c:v>0.146891958612064</c:v>
                </c:pt>
                <c:pt idx="1">
                  <c:v>0.170859345878428</c:v>
                </c:pt>
                <c:pt idx="2">
                  <c:v>0.295737187883932</c:v>
                </c:pt>
              </c:numCache>
            </c:numRef>
          </c:val>
        </c:ser>
        <c:ser>
          <c:idx val="4"/>
          <c:order val="4"/>
          <c:tx>
            <c:strRef>
              <c:f>Sheet1!$B$19</c:f>
              <c:strCache>
                <c:ptCount val="1"/>
                <c:pt idx="0">
                  <c:v>完全不依赖</c:v>
                </c:pt>
              </c:strCache>
            </c:strRef>
          </c:tx>
          <c:spPr>
            <a:solidFill>
              <a:schemeClr val="accent5"/>
            </a:solidFill>
            <a:ln w="12700">
              <a:solidFill>
                <a:schemeClr val="bg1">
                  <a:lumMod val="95000"/>
                </a:schemeClr>
              </a:solidFill>
            </a:ln>
            <a:effectLst>
              <a:outerShdw blurRad="38100" dist="12700" dir="5400000" algn="tl" rotWithShape="0">
                <a:prstClr val="black">
                  <a:alpha val="40000"/>
                </a:prstClr>
              </a:outerShdw>
            </a:effectLst>
            <a:sp3d contourW="12700"/>
          </c:spPr>
          <c:invertIfNegative val="0"/>
          <c:dLbls>
            <c:delete val="1"/>
          </c:dLbls>
          <c:cat>
            <c:strRef>
              <c:f>Sheet1!$C$14:$E$14</c:f>
              <c:strCache>
                <c:ptCount val="3"/>
                <c:pt idx="0">
                  <c:v>不限制</c:v>
                </c:pt>
                <c:pt idx="1">
                  <c:v>有时候限制</c:v>
                </c:pt>
                <c:pt idx="2">
                  <c:v>经常限制</c:v>
                </c:pt>
              </c:strCache>
            </c:strRef>
          </c:cat>
          <c:val>
            <c:numRef>
              <c:f>Sheet1!$C$19:$E$19</c:f>
              <c:numCache>
                <c:formatCode>0.0%</c:formatCode>
                <c:ptCount val="3"/>
                <c:pt idx="0">
                  <c:v>0.15228244809845</c:v>
                </c:pt>
                <c:pt idx="1">
                  <c:v>0.0873507515417874</c:v>
                </c:pt>
                <c:pt idx="2">
                  <c:v>0.30324785580464</c:v>
                </c:pt>
              </c:numCache>
            </c:numRef>
          </c:val>
        </c:ser>
        <c:dLbls>
          <c:showLegendKey val="0"/>
          <c:showVal val="0"/>
          <c:showCatName val="0"/>
          <c:showSerName val="0"/>
          <c:showPercent val="0"/>
          <c:showBubbleSize val="0"/>
        </c:dLbls>
        <c:gapWidth val="95"/>
        <c:overlap val="100"/>
        <c:axId val="34580809"/>
        <c:axId val="964939630"/>
      </c:barChart>
      <c:catAx>
        <c:axId val="34580809"/>
        <c:scaling>
          <c:orientation val="minMax"/>
        </c:scaling>
        <c:delete val="0"/>
        <c:axPos val="l"/>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黑体" panose="02010609060101010101" charset="-122"/>
                <a:sym typeface="黑体" panose="02010609060101010101" charset="-122"/>
              </a:defRPr>
            </a:pPr>
          </a:p>
        </c:txPr>
        <c:crossAx val="964939630"/>
        <c:crosses val="autoZero"/>
        <c:auto val="1"/>
        <c:lblAlgn val="ctr"/>
        <c:lblOffset val="100"/>
        <c:noMultiLvlLbl val="0"/>
      </c:catAx>
      <c:valAx>
        <c:axId val="964939630"/>
        <c:scaling>
          <c:orientation val="minMax"/>
        </c:scaling>
        <c:delete val="0"/>
        <c:axPos val="b"/>
        <c:majorGridlines>
          <c:spPr>
            <a:ln w="9525" cap="flat" cmpd="sng" algn="ctr">
              <a:solidFill>
                <a:schemeClr val="tx1">
                  <a:lumMod val="15000"/>
                  <a:lumOff val="85000"/>
                </a:schemeClr>
              </a:solidFill>
              <a:prstDash val="dash"/>
              <a:round/>
            </a:ln>
            <a:effectLst/>
          </c:spPr>
        </c:majorGridlines>
        <c:numFmt formatCode="0%"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黑体" panose="02010609060101010101" charset="-122"/>
                <a:sym typeface="黑体" panose="02010609060101010101" charset="-122"/>
              </a:defRPr>
            </a:pPr>
          </a:p>
        </c:txPr>
        <c:crossAx val="34580809"/>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0"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黑体" panose="02010609060101010101" charset="-122"/>
                <a:sym typeface="黑体" panose="02010609060101010101" charset="-122"/>
              </a:defRPr>
            </a:pPr>
          </a:p>
        </c:txPr>
      </c:dTable>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solidFill>
            <a:sysClr val="windowText" lastClr="000000"/>
          </a:solidFill>
          <a:latin typeface="黑体" panose="02010609060101010101" charset="-122"/>
          <a:ea typeface="黑体" panose="02010609060101010101" charset="-122"/>
          <a:cs typeface="黑体" panose="02010609060101010101" charset="-122"/>
          <a:sym typeface="黑体" panose="02010609060101010101" charset="-122"/>
        </a:defRPr>
      </a:pPr>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hart>
    <c:autoTitleDeleted val="1"/>
    <c:plotArea>
      <c:layout>
        <c:manualLayout>
          <c:layoutTarget val="inner"/>
          <c:xMode val="edge"/>
          <c:yMode val="edge"/>
          <c:x val="0.171878427647906"/>
          <c:y val="0.0460025963849222"/>
          <c:w val="0.786013868888957"/>
          <c:h val="0.927322166591134"/>
        </c:manualLayout>
      </c:layout>
      <c:barChart>
        <c:barDir val="bar"/>
        <c:grouping val="clustered"/>
        <c:varyColors val="0"/>
        <c:ser>
          <c:idx val="0"/>
          <c:order val="0"/>
          <c:tx>
            <c:strRef>
              <c:f>Sheet1!$B$1</c:f>
              <c:strCache>
                <c:ptCount val="1"/>
                <c:pt idx="0">
                  <c:v>2021年</c:v>
                </c:pt>
              </c:strCache>
            </c:strRef>
          </c:tx>
          <c:spPr>
            <a:solidFill>
              <a:srgbClr val="5B9BD5"/>
            </a:solidFill>
            <a:effectLst>
              <a:outerShdw blurRad="38100" dist="12700" dir="5400000" algn="tl" rotWithShape="0">
                <a:prstClr val="black">
                  <a:alpha val="38000"/>
                </a:prstClr>
              </a:outerShdw>
            </a:effectLst>
          </c:spPr>
          <c:invertIfNegative val="0"/>
          <c:dLbls>
            <c:dLbl>
              <c:idx val="1"/>
              <c:layout>
                <c:manualLayout>
                  <c:x val="-2.04254623814059e-7"/>
                  <c:y val="0.0019474270261672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0.0%" sourceLinked="0"/>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Sheet1!$A$2:$A$19</c:f>
              <c:strCache>
                <c:ptCount val="18"/>
                <c:pt idx="0">
                  <c:v>网上学习</c:v>
                </c:pt>
                <c:pt idx="1">
                  <c:v>听音乐</c:v>
                </c:pt>
                <c:pt idx="2">
                  <c:v>玩游戏</c:v>
                </c:pt>
                <c:pt idx="3">
                  <c:v>聊天</c:v>
                </c:pt>
                <c:pt idx="4">
                  <c:v>看短视频</c:v>
                </c:pt>
                <c:pt idx="5">
                  <c:v>搜索信息</c:v>
                </c:pt>
                <c:pt idx="6">
                  <c:v>看视频</c:v>
                </c:pt>
                <c:pt idx="7">
                  <c:v>使用社交网站</c:v>
                </c:pt>
                <c:pt idx="8">
                  <c:v>看动画、漫画</c:v>
                </c:pt>
                <c:pt idx="9">
                  <c:v>网上购物</c:v>
                </c:pt>
                <c:pt idx="10">
                  <c:v>看小说</c:v>
                </c:pt>
                <c:pt idx="11">
                  <c:v>看新闻资讯</c:v>
                </c:pt>
                <c:pt idx="12">
                  <c:v>看直播</c:v>
                </c:pt>
                <c:pt idx="13">
                  <c:v>听电台、听书</c:v>
                </c:pt>
                <c:pt idx="14">
                  <c:v>进行内容创作</c:v>
                </c:pt>
                <c:pt idx="15">
                  <c:v>逛微博</c:v>
                </c:pt>
                <c:pt idx="16">
                  <c:v>逛论坛</c:v>
                </c:pt>
                <c:pt idx="17">
                  <c:v>粉丝应援</c:v>
                </c:pt>
              </c:strCache>
            </c:strRef>
          </c:cat>
          <c:val>
            <c:numRef>
              <c:f>Sheet1!$B$2:$B$19</c:f>
              <c:numCache>
                <c:formatCode>0.0%</c:formatCode>
                <c:ptCount val="18"/>
                <c:pt idx="0">
                  <c:v>0.889</c:v>
                </c:pt>
                <c:pt idx="1">
                  <c:v>0.629863319879363</c:v>
                </c:pt>
                <c:pt idx="2">
                  <c:v>0.623321947047993</c:v>
                </c:pt>
                <c:pt idx="3">
                  <c:v>0.534419465295833</c:v>
                </c:pt>
                <c:pt idx="4">
                  <c:v>0.475763586197454</c:v>
                </c:pt>
                <c:pt idx="5">
                  <c:v>0.446991437753093</c:v>
                </c:pt>
                <c:pt idx="6">
                  <c:v>0.38741540655041</c:v>
                </c:pt>
                <c:pt idx="7">
                  <c:v>0.344921163384631</c:v>
                </c:pt>
                <c:pt idx="8">
                  <c:v>0.292265377650402</c:v>
                </c:pt>
                <c:pt idx="9">
                  <c:v>0.220751862299443</c:v>
                </c:pt>
                <c:pt idx="10">
                  <c:v>0.214852264554754</c:v>
                </c:pt>
                <c:pt idx="11">
                  <c:v>0.180663042786286</c:v>
                </c:pt>
                <c:pt idx="12">
                  <c:v>0.167137818863217</c:v>
                </c:pt>
                <c:pt idx="13">
                  <c:v>0.166320073793118</c:v>
                </c:pt>
                <c:pt idx="14">
                  <c:v>0.129689210892798</c:v>
                </c:pt>
                <c:pt idx="15">
                  <c:v>0.117272304732163</c:v>
                </c:pt>
                <c:pt idx="16">
                  <c:v>0.111622968771</c:v>
                </c:pt>
                <c:pt idx="17">
                  <c:v>0.0537821589141193</c:v>
                </c:pt>
              </c:numCache>
            </c:numRef>
          </c:val>
        </c:ser>
        <c:dLbls>
          <c:showLegendKey val="0"/>
          <c:showVal val="0"/>
          <c:showCatName val="0"/>
          <c:showSerName val="0"/>
          <c:showPercent val="0"/>
          <c:showBubbleSize val="0"/>
        </c:dLbls>
        <c:gapWidth val="150"/>
        <c:axId val="401961728"/>
        <c:axId val="401963264"/>
      </c:barChart>
      <c:catAx>
        <c:axId val="401961728"/>
        <c:scaling>
          <c:orientation val="maxMin"/>
        </c:scaling>
        <c:delete val="0"/>
        <c:axPos val="l"/>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01963264"/>
        <c:crosses val="autoZero"/>
        <c:auto val="1"/>
        <c:lblAlgn val="ctr"/>
        <c:lblOffset val="100"/>
        <c:noMultiLvlLbl val="0"/>
      </c:catAx>
      <c:valAx>
        <c:axId val="401963264"/>
        <c:scaling>
          <c:orientation val="minMax"/>
        </c:scaling>
        <c:delete val="0"/>
        <c:axPos val="t"/>
        <c:majorGridlines>
          <c:spPr>
            <a:ln w="6350" cap="flat" cmpd="sng" algn="ctr">
              <a:solidFill>
                <a:sysClr val="window" lastClr="FFFFFF">
                  <a:lumMod val="85000"/>
                </a:sysClr>
              </a:solidFill>
              <a:prstDash val="dash"/>
              <a:round/>
            </a:ln>
          </c:spPr>
        </c:majorGridlines>
        <c:numFmt formatCode="0%" sourceLinked="0"/>
        <c:majorTickMark val="in"/>
        <c:minorTickMark val="none"/>
        <c:tickLblPos val="nextTo"/>
        <c:spPr>
          <a:ln w="6350"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01961728"/>
        <c:crosses val="autoZero"/>
        <c:crossBetween val="between"/>
      </c:valAx>
      <c:spPr>
        <a:noFill/>
        <a:ln w="12700">
          <a:noFill/>
        </a:ln>
      </c:spPr>
    </c:plotArea>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888737069631"/>
          <c:y val="0.0489862856546905"/>
          <c:w val="0.789465421027125"/>
          <c:h val="0.892776068554345"/>
        </c:manualLayout>
      </c:layout>
      <c:barChart>
        <c:barDir val="bar"/>
        <c:grouping val="clustered"/>
        <c:varyColors val="0"/>
        <c:ser>
          <c:idx val="0"/>
          <c:order val="0"/>
          <c:tx>
            <c:strRef>
              <c:f>Sheet1!$B$1</c:f>
              <c:strCache>
                <c:ptCount val="1"/>
                <c:pt idx="0">
                  <c:v>未成年网民平均水平</c:v>
                </c:pt>
              </c:strCache>
            </c:strRef>
          </c:tx>
          <c:spPr>
            <a:solidFill>
              <a:srgbClr val="5B9BD5"/>
            </a:solidFill>
          </c:spPr>
          <c:invertIfNegative val="0"/>
          <c:dLbls>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Sheet1!$A$2:$A$19</c:f>
              <c:strCache>
                <c:ptCount val="18"/>
                <c:pt idx="0">
                  <c:v>网上学习</c:v>
                </c:pt>
                <c:pt idx="1">
                  <c:v>听音乐</c:v>
                </c:pt>
                <c:pt idx="2">
                  <c:v>玩游戏</c:v>
                </c:pt>
                <c:pt idx="3">
                  <c:v>聊天</c:v>
                </c:pt>
                <c:pt idx="4">
                  <c:v>看短视频</c:v>
                </c:pt>
                <c:pt idx="5">
                  <c:v>搜索信息</c:v>
                </c:pt>
                <c:pt idx="6">
                  <c:v>看视频</c:v>
                </c:pt>
                <c:pt idx="7">
                  <c:v>使用社交网站</c:v>
                </c:pt>
                <c:pt idx="8">
                  <c:v>看动画、漫画</c:v>
                </c:pt>
                <c:pt idx="9">
                  <c:v>网上购物</c:v>
                </c:pt>
                <c:pt idx="10">
                  <c:v>看小说</c:v>
                </c:pt>
                <c:pt idx="11">
                  <c:v>看新闻资讯</c:v>
                </c:pt>
                <c:pt idx="12">
                  <c:v>看直播</c:v>
                </c:pt>
                <c:pt idx="13">
                  <c:v>听电台、听书</c:v>
                </c:pt>
                <c:pt idx="14">
                  <c:v>进行内容创作</c:v>
                </c:pt>
                <c:pt idx="15">
                  <c:v>逛微博</c:v>
                </c:pt>
                <c:pt idx="16">
                  <c:v>逛论坛</c:v>
                </c:pt>
                <c:pt idx="17">
                  <c:v>粉丝应援</c:v>
                </c:pt>
              </c:strCache>
            </c:strRef>
          </c:cat>
          <c:val>
            <c:numRef>
              <c:f>Sheet1!$B$2:$B$19</c:f>
              <c:numCache>
                <c:formatCode>0.0%</c:formatCode>
                <c:ptCount val="18"/>
                <c:pt idx="0">
                  <c:v>0.889</c:v>
                </c:pt>
                <c:pt idx="1">
                  <c:v>0.629863319879363</c:v>
                </c:pt>
                <c:pt idx="2">
                  <c:v>0.623321947047993</c:v>
                </c:pt>
                <c:pt idx="3">
                  <c:v>0.534419465295833</c:v>
                </c:pt>
                <c:pt idx="4">
                  <c:v>0.475763586197454</c:v>
                </c:pt>
                <c:pt idx="5">
                  <c:v>0.446991437753093</c:v>
                </c:pt>
                <c:pt idx="6">
                  <c:v>0.38741540655041</c:v>
                </c:pt>
                <c:pt idx="7">
                  <c:v>0.344921163384631</c:v>
                </c:pt>
                <c:pt idx="8">
                  <c:v>0.292265377650402</c:v>
                </c:pt>
                <c:pt idx="9">
                  <c:v>0.220751862299443</c:v>
                </c:pt>
                <c:pt idx="10">
                  <c:v>0.214852264554754</c:v>
                </c:pt>
                <c:pt idx="11">
                  <c:v>0.180663042786286</c:v>
                </c:pt>
                <c:pt idx="12">
                  <c:v>0.167137818863217</c:v>
                </c:pt>
                <c:pt idx="13">
                  <c:v>0.166320073793118</c:v>
                </c:pt>
                <c:pt idx="14">
                  <c:v>0.129689210892798</c:v>
                </c:pt>
                <c:pt idx="15">
                  <c:v>0.117272304732163</c:v>
                </c:pt>
                <c:pt idx="16">
                  <c:v>0.111622968771</c:v>
                </c:pt>
                <c:pt idx="17">
                  <c:v>0.0537821589141193</c:v>
                </c:pt>
              </c:numCache>
            </c:numRef>
          </c:val>
        </c:ser>
        <c:ser>
          <c:idx val="1"/>
          <c:order val="1"/>
          <c:tx>
            <c:strRef>
              <c:f>Sheet1!$C$1</c:f>
              <c:strCache>
                <c:ptCount val="1"/>
                <c:pt idx="0">
                  <c:v>小学生网民</c:v>
                </c:pt>
              </c:strCache>
            </c:strRef>
          </c:tx>
          <c:spPr>
            <a:solidFill>
              <a:srgbClr val="FF0000">
                <a:alpha val="70000"/>
              </a:srgbClr>
            </a:solidFill>
          </c:spPr>
          <c:invertIfNegative val="0"/>
          <c:dLbls>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Sheet1!$A$2:$A$19</c:f>
              <c:strCache>
                <c:ptCount val="18"/>
                <c:pt idx="0">
                  <c:v>网上学习</c:v>
                </c:pt>
                <c:pt idx="1">
                  <c:v>听音乐</c:v>
                </c:pt>
                <c:pt idx="2">
                  <c:v>玩游戏</c:v>
                </c:pt>
                <c:pt idx="3">
                  <c:v>聊天</c:v>
                </c:pt>
                <c:pt idx="4">
                  <c:v>看短视频</c:v>
                </c:pt>
                <c:pt idx="5">
                  <c:v>搜索信息</c:v>
                </c:pt>
                <c:pt idx="6">
                  <c:v>看视频</c:v>
                </c:pt>
                <c:pt idx="7">
                  <c:v>使用社交网站</c:v>
                </c:pt>
                <c:pt idx="8">
                  <c:v>看动画、漫画</c:v>
                </c:pt>
                <c:pt idx="9">
                  <c:v>网上购物</c:v>
                </c:pt>
                <c:pt idx="10">
                  <c:v>看小说</c:v>
                </c:pt>
                <c:pt idx="11">
                  <c:v>看新闻资讯</c:v>
                </c:pt>
                <c:pt idx="12">
                  <c:v>看直播</c:v>
                </c:pt>
                <c:pt idx="13">
                  <c:v>听电台、听书</c:v>
                </c:pt>
                <c:pt idx="14">
                  <c:v>进行内容创作</c:v>
                </c:pt>
                <c:pt idx="15">
                  <c:v>逛微博</c:v>
                </c:pt>
                <c:pt idx="16">
                  <c:v>逛论坛</c:v>
                </c:pt>
                <c:pt idx="17">
                  <c:v>粉丝应援</c:v>
                </c:pt>
              </c:strCache>
            </c:strRef>
          </c:cat>
          <c:val>
            <c:numRef>
              <c:f>Sheet1!$C$2:$C$19</c:f>
              <c:numCache>
                <c:formatCode>0.0%</c:formatCode>
                <c:ptCount val="18"/>
                <c:pt idx="0">
                  <c:v>0.876</c:v>
                </c:pt>
                <c:pt idx="1">
                  <c:v>0.504408468759728</c:v>
                </c:pt>
                <c:pt idx="2">
                  <c:v>0.518717593748094</c:v>
                </c:pt>
                <c:pt idx="3">
                  <c:v>0.351475163386721</c:v>
                </c:pt>
                <c:pt idx="4">
                  <c:v>0.339627509733237</c:v>
                </c:pt>
                <c:pt idx="5">
                  <c:v>0.375138146063792</c:v>
                </c:pt>
                <c:pt idx="6">
                  <c:v>0.260191716218843</c:v>
                </c:pt>
                <c:pt idx="7">
                  <c:v>0.179173953705219</c:v>
                </c:pt>
                <c:pt idx="8">
                  <c:v>0.240769083655998</c:v>
                </c:pt>
                <c:pt idx="9">
                  <c:v>0.0719349806570991</c:v>
                </c:pt>
                <c:pt idx="10">
                  <c:v>0.105300700175174</c:v>
                </c:pt>
                <c:pt idx="11">
                  <c:v>0.122450583068256</c:v>
                </c:pt>
                <c:pt idx="12">
                  <c:v>0.112475389990589</c:v>
                </c:pt>
                <c:pt idx="13">
                  <c:v>0.149133433446374</c:v>
                </c:pt>
                <c:pt idx="14">
                  <c:v>0.0943155246296829</c:v>
                </c:pt>
                <c:pt idx="15">
                  <c:v>0.0388089403762908</c:v>
                </c:pt>
                <c:pt idx="16">
                  <c:v>0.0396251328764652</c:v>
                </c:pt>
                <c:pt idx="17">
                  <c:v>0.0271968688773637</c:v>
                </c:pt>
              </c:numCache>
            </c:numRef>
          </c:val>
        </c:ser>
        <c:dLbls>
          <c:showLegendKey val="0"/>
          <c:showVal val="0"/>
          <c:showCatName val="0"/>
          <c:showSerName val="0"/>
          <c:showPercent val="0"/>
          <c:showBubbleSize val="0"/>
        </c:dLbls>
        <c:gapWidth val="100"/>
        <c:overlap val="-20"/>
        <c:axId val="412614656"/>
        <c:axId val="412616192"/>
      </c:barChart>
      <c:catAx>
        <c:axId val="412614656"/>
        <c:scaling>
          <c:orientation val="maxMin"/>
        </c:scaling>
        <c:delete val="0"/>
        <c:axPos val="l"/>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12616192"/>
        <c:crosses val="autoZero"/>
        <c:auto val="1"/>
        <c:lblAlgn val="ctr"/>
        <c:lblOffset val="100"/>
        <c:noMultiLvlLbl val="0"/>
      </c:catAx>
      <c:valAx>
        <c:axId val="412616192"/>
        <c:scaling>
          <c:orientation val="minMax"/>
        </c:scaling>
        <c:delete val="0"/>
        <c:axPos val="t"/>
        <c:majorGridlines>
          <c:spPr>
            <a:ln w="9525" cap="flat" cmpd="sng" algn="ctr">
              <a:solidFill>
                <a:sysClr val="window" lastClr="FFFFFF">
                  <a:lumMod val="85000"/>
                </a:sysClr>
              </a:solidFill>
              <a:prstDash val="dash"/>
              <a:round/>
            </a:ln>
          </c:spPr>
        </c:majorGridlines>
        <c:numFmt formatCode="0%" sourceLinked="0"/>
        <c:majorTickMark val="in"/>
        <c:minorTickMark val="none"/>
        <c:tickLblPos val="nextTo"/>
        <c:spPr>
          <a:ln w="9525"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12614656"/>
        <c:crosses val="autoZero"/>
        <c:crossBetween val="between"/>
        <c:majorUnit val="0.1"/>
      </c:valAx>
      <c:spPr>
        <a:noFill/>
        <a:ln w="12700">
          <a:noFill/>
        </a:ln>
      </c:spPr>
    </c:plotArea>
    <c:legend>
      <c:legendPos val="b"/>
      <c:layout>
        <c:manualLayout>
          <c:xMode val="edge"/>
          <c:yMode val="edge"/>
          <c:x val="0.216341101786408"/>
          <c:y val="0.960334949853123"/>
          <c:w val="0.560049926107814"/>
          <c:h val="0.0395228628230616"/>
        </c:manualLayout>
      </c:layout>
      <c:overlay val="0"/>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legend>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6819922371582"/>
          <c:y val="0.0535356163954804"/>
          <c:w val="0.791948105934272"/>
          <c:h val="0.895310019808001"/>
        </c:manualLayout>
      </c:layout>
      <c:barChart>
        <c:barDir val="bar"/>
        <c:grouping val="clustered"/>
        <c:varyColors val="0"/>
        <c:ser>
          <c:idx val="0"/>
          <c:order val="0"/>
          <c:tx>
            <c:strRef>
              <c:f>Sheet1!$B$1</c:f>
              <c:strCache>
                <c:ptCount val="1"/>
                <c:pt idx="0">
                  <c:v>未成年网民平均水平</c:v>
                </c:pt>
              </c:strCache>
            </c:strRef>
          </c:tx>
          <c:spPr>
            <a:solidFill>
              <a:srgbClr val="5B9BD5"/>
            </a:solidFill>
          </c:spPr>
          <c:invertIfNegative val="0"/>
          <c:dLbls>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Sheet1!$A$2:$A$19</c:f>
              <c:strCache>
                <c:ptCount val="18"/>
                <c:pt idx="0">
                  <c:v>网上学习</c:v>
                </c:pt>
                <c:pt idx="1">
                  <c:v>听音乐</c:v>
                </c:pt>
                <c:pt idx="2">
                  <c:v>玩游戏</c:v>
                </c:pt>
                <c:pt idx="3">
                  <c:v>聊天</c:v>
                </c:pt>
                <c:pt idx="4">
                  <c:v>看短视频</c:v>
                </c:pt>
                <c:pt idx="5">
                  <c:v>搜索信息</c:v>
                </c:pt>
                <c:pt idx="6">
                  <c:v>看视频</c:v>
                </c:pt>
                <c:pt idx="7">
                  <c:v>使用社交网站</c:v>
                </c:pt>
                <c:pt idx="8">
                  <c:v>看动画、漫画</c:v>
                </c:pt>
                <c:pt idx="9">
                  <c:v>网上购物</c:v>
                </c:pt>
                <c:pt idx="10">
                  <c:v>看小说</c:v>
                </c:pt>
                <c:pt idx="11">
                  <c:v>看新闻资讯</c:v>
                </c:pt>
                <c:pt idx="12">
                  <c:v>看直播</c:v>
                </c:pt>
                <c:pt idx="13">
                  <c:v>听电台、听书</c:v>
                </c:pt>
                <c:pt idx="14">
                  <c:v>进行内容创作</c:v>
                </c:pt>
                <c:pt idx="15">
                  <c:v>逛微博</c:v>
                </c:pt>
                <c:pt idx="16">
                  <c:v>逛论坛</c:v>
                </c:pt>
                <c:pt idx="17">
                  <c:v>粉丝应援</c:v>
                </c:pt>
              </c:strCache>
            </c:strRef>
          </c:cat>
          <c:val>
            <c:numRef>
              <c:f>Sheet1!$B$2:$B$19</c:f>
              <c:numCache>
                <c:formatCode>0.0%</c:formatCode>
                <c:ptCount val="18"/>
                <c:pt idx="0">
                  <c:v>0.889</c:v>
                </c:pt>
                <c:pt idx="1">
                  <c:v>0.629863319879363</c:v>
                </c:pt>
                <c:pt idx="2">
                  <c:v>0.623321947047993</c:v>
                </c:pt>
                <c:pt idx="3">
                  <c:v>0.534419465295833</c:v>
                </c:pt>
                <c:pt idx="4">
                  <c:v>0.475763586197454</c:v>
                </c:pt>
                <c:pt idx="5">
                  <c:v>0.446991437753093</c:v>
                </c:pt>
                <c:pt idx="6">
                  <c:v>0.38741540655041</c:v>
                </c:pt>
                <c:pt idx="7">
                  <c:v>0.344921163384631</c:v>
                </c:pt>
                <c:pt idx="8">
                  <c:v>0.292265377650402</c:v>
                </c:pt>
                <c:pt idx="9">
                  <c:v>0.220751862299443</c:v>
                </c:pt>
                <c:pt idx="10">
                  <c:v>0.214852264554754</c:v>
                </c:pt>
                <c:pt idx="11">
                  <c:v>0.180663042786286</c:v>
                </c:pt>
                <c:pt idx="12">
                  <c:v>0.167137818863217</c:v>
                </c:pt>
                <c:pt idx="13">
                  <c:v>0.166320073793118</c:v>
                </c:pt>
                <c:pt idx="14">
                  <c:v>0.129689210892798</c:v>
                </c:pt>
                <c:pt idx="15">
                  <c:v>0.117272304732163</c:v>
                </c:pt>
                <c:pt idx="16">
                  <c:v>0.111622968771</c:v>
                </c:pt>
                <c:pt idx="17">
                  <c:v>0.0537821589141193</c:v>
                </c:pt>
              </c:numCache>
            </c:numRef>
          </c:val>
        </c:ser>
        <c:ser>
          <c:idx val="1"/>
          <c:order val="1"/>
          <c:tx>
            <c:strRef>
              <c:f>Sheet1!$C$1</c:f>
              <c:strCache>
                <c:ptCount val="1"/>
                <c:pt idx="0">
                  <c:v>初中生网民</c:v>
                </c:pt>
              </c:strCache>
            </c:strRef>
          </c:tx>
          <c:spPr>
            <a:solidFill>
              <a:srgbClr val="FF0000">
                <a:alpha val="70000"/>
              </a:srgbClr>
            </a:solidFill>
          </c:spPr>
          <c:invertIfNegative val="0"/>
          <c:dLbls>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Sheet1!$A$2:$A$19</c:f>
              <c:strCache>
                <c:ptCount val="18"/>
                <c:pt idx="0">
                  <c:v>网上学习</c:v>
                </c:pt>
                <c:pt idx="1">
                  <c:v>听音乐</c:v>
                </c:pt>
                <c:pt idx="2">
                  <c:v>玩游戏</c:v>
                </c:pt>
                <c:pt idx="3">
                  <c:v>聊天</c:v>
                </c:pt>
                <c:pt idx="4">
                  <c:v>看短视频</c:v>
                </c:pt>
                <c:pt idx="5">
                  <c:v>搜索信息</c:v>
                </c:pt>
                <c:pt idx="6">
                  <c:v>看视频</c:v>
                </c:pt>
                <c:pt idx="7">
                  <c:v>使用社交网站</c:v>
                </c:pt>
                <c:pt idx="8">
                  <c:v>看动画、漫画</c:v>
                </c:pt>
                <c:pt idx="9">
                  <c:v>网上购物</c:v>
                </c:pt>
                <c:pt idx="10">
                  <c:v>看小说</c:v>
                </c:pt>
                <c:pt idx="11">
                  <c:v>看新闻资讯</c:v>
                </c:pt>
                <c:pt idx="12">
                  <c:v>看直播</c:v>
                </c:pt>
                <c:pt idx="13">
                  <c:v>听电台、听书</c:v>
                </c:pt>
                <c:pt idx="14">
                  <c:v>进行内容创作</c:v>
                </c:pt>
                <c:pt idx="15">
                  <c:v>逛微博</c:v>
                </c:pt>
                <c:pt idx="16">
                  <c:v>逛论坛</c:v>
                </c:pt>
                <c:pt idx="17">
                  <c:v>粉丝应援</c:v>
                </c:pt>
              </c:strCache>
            </c:strRef>
          </c:cat>
          <c:val>
            <c:numRef>
              <c:f>Sheet1!$C$2:$C$19</c:f>
              <c:numCache>
                <c:formatCode>0.0%</c:formatCode>
                <c:ptCount val="18"/>
                <c:pt idx="0">
                  <c:v>0.916</c:v>
                </c:pt>
                <c:pt idx="1">
                  <c:v>0.763226824312899</c:v>
                </c:pt>
                <c:pt idx="2">
                  <c:v>0.706577673898092</c:v>
                </c:pt>
                <c:pt idx="3">
                  <c:v>0.721003501851218</c:v>
                </c:pt>
                <c:pt idx="4">
                  <c:v>0.617966517581691</c:v>
                </c:pt>
                <c:pt idx="5">
                  <c:v>0.548427289175347</c:v>
                </c:pt>
                <c:pt idx="6">
                  <c:v>0.521174502907887</c:v>
                </c:pt>
                <c:pt idx="7">
                  <c:v>0.509539999586174</c:v>
                </c:pt>
                <c:pt idx="8">
                  <c:v>0.325122711062521</c:v>
                </c:pt>
                <c:pt idx="9">
                  <c:v>0.33439775320856</c:v>
                </c:pt>
                <c:pt idx="10">
                  <c:v>0.285927269644404</c:v>
                </c:pt>
                <c:pt idx="11">
                  <c:v>0.24282701616918</c:v>
                </c:pt>
                <c:pt idx="12">
                  <c:v>0.200351706327297</c:v>
                </c:pt>
                <c:pt idx="13">
                  <c:v>0.185565017422802</c:v>
                </c:pt>
                <c:pt idx="14">
                  <c:v>0.171022540186327</c:v>
                </c:pt>
                <c:pt idx="15">
                  <c:v>0.193037427886477</c:v>
                </c:pt>
                <c:pt idx="16">
                  <c:v>0.167102394421944</c:v>
                </c:pt>
                <c:pt idx="17">
                  <c:v>0.0907054627144635</c:v>
                </c:pt>
              </c:numCache>
            </c:numRef>
          </c:val>
        </c:ser>
        <c:dLbls>
          <c:showLegendKey val="0"/>
          <c:showVal val="0"/>
          <c:showCatName val="0"/>
          <c:showSerName val="0"/>
          <c:showPercent val="0"/>
          <c:showBubbleSize val="0"/>
        </c:dLbls>
        <c:gapWidth val="100"/>
        <c:overlap val="-20"/>
        <c:axId val="412650880"/>
        <c:axId val="412697728"/>
      </c:barChart>
      <c:catAx>
        <c:axId val="412650880"/>
        <c:scaling>
          <c:orientation val="maxMin"/>
        </c:scaling>
        <c:delete val="0"/>
        <c:axPos val="l"/>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12697728"/>
        <c:crosses val="autoZero"/>
        <c:auto val="1"/>
        <c:lblAlgn val="ctr"/>
        <c:lblOffset val="100"/>
        <c:noMultiLvlLbl val="0"/>
      </c:catAx>
      <c:valAx>
        <c:axId val="412697728"/>
        <c:scaling>
          <c:orientation val="minMax"/>
        </c:scaling>
        <c:delete val="0"/>
        <c:axPos val="t"/>
        <c:majorGridlines>
          <c:spPr>
            <a:ln w="9525" cap="flat" cmpd="sng" algn="ctr">
              <a:solidFill>
                <a:sysClr val="window" lastClr="FFFFFF">
                  <a:lumMod val="85000"/>
                </a:sysClr>
              </a:solidFill>
              <a:prstDash val="dash"/>
              <a:round/>
            </a:ln>
          </c:spPr>
        </c:majorGridlines>
        <c:numFmt formatCode="0%" sourceLinked="0"/>
        <c:majorTickMark val="in"/>
        <c:minorTickMark val="none"/>
        <c:tickLblPos val="nextTo"/>
        <c:spPr>
          <a:ln w="9525"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12650880"/>
        <c:crosses val="autoZero"/>
        <c:crossBetween val="between"/>
        <c:majorUnit val="0.1"/>
      </c:valAx>
      <c:spPr>
        <a:noFill/>
        <a:ln w="12700">
          <a:noFill/>
        </a:ln>
      </c:spPr>
    </c:plotArea>
    <c:legend>
      <c:legendPos val="b"/>
      <c:layout>
        <c:manualLayout>
          <c:xMode val="edge"/>
          <c:yMode val="edge"/>
          <c:x val="0.265659334019712"/>
          <c:y val="0.961421704740059"/>
          <c:w val="0.490665342601787"/>
          <c:h val="0.0374387947269304"/>
        </c:manualLayout>
      </c:layout>
      <c:overlay val="0"/>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legend>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75206819976699"/>
          <c:y val="0.0490749001202436"/>
          <c:w val="0.784500230668791"/>
          <c:h val="0.894990712367851"/>
        </c:manualLayout>
      </c:layout>
      <c:barChart>
        <c:barDir val="bar"/>
        <c:grouping val="clustered"/>
        <c:varyColors val="0"/>
        <c:ser>
          <c:idx val="0"/>
          <c:order val="0"/>
          <c:tx>
            <c:strRef>
              <c:f>Sheet1!$B$1</c:f>
              <c:strCache>
                <c:ptCount val="1"/>
                <c:pt idx="0">
                  <c:v>未成年网民平均水平</c:v>
                </c:pt>
              </c:strCache>
            </c:strRef>
          </c:tx>
          <c:spPr>
            <a:solidFill>
              <a:srgbClr val="5B9BD5"/>
            </a:solidFill>
          </c:spPr>
          <c:invertIfNegative val="0"/>
          <c:dLbls>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Sheet1!$A$2:$A$19</c:f>
              <c:strCache>
                <c:ptCount val="18"/>
                <c:pt idx="0">
                  <c:v>网上学习</c:v>
                </c:pt>
                <c:pt idx="1">
                  <c:v>听音乐</c:v>
                </c:pt>
                <c:pt idx="2">
                  <c:v>玩游戏</c:v>
                </c:pt>
                <c:pt idx="3">
                  <c:v>聊天</c:v>
                </c:pt>
                <c:pt idx="4">
                  <c:v>看短视频</c:v>
                </c:pt>
                <c:pt idx="5">
                  <c:v>搜索信息</c:v>
                </c:pt>
                <c:pt idx="6">
                  <c:v>看视频</c:v>
                </c:pt>
                <c:pt idx="7">
                  <c:v>使用社交网站</c:v>
                </c:pt>
                <c:pt idx="8">
                  <c:v>看动画、漫画</c:v>
                </c:pt>
                <c:pt idx="9">
                  <c:v>网上购物</c:v>
                </c:pt>
                <c:pt idx="10">
                  <c:v>看小说</c:v>
                </c:pt>
                <c:pt idx="11">
                  <c:v>看新闻资讯</c:v>
                </c:pt>
                <c:pt idx="12">
                  <c:v>看直播</c:v>
                </c:pt>
                <c:pt idx="13">
                  <c:v>听电台、听书</c:v>
                </c:pt>
                <c:pt idx="14">
                  <c:v>进行内容创作</c:v>
                </c:pt>
                <c:pt idx="15">
                  <c:v>逛微博</c:v>
                </c:pt>
                <c:pt idx="16">
                  <c:v>逛论坛</c:v>
                </c:pt>
                <c:pt idx="17">
                  <c:v>粉丝应援</c:v>
                </c:pt>
              </c:strCache>
            </c:strRef>
          </c:cat>
          <c:val>
            <c:numRef>
              <c:f>Sheet1!$B$2:$B$19</c:f>
              <c:numCache>
                <c:formatCode>0.0%</c:formatCode>
                <c:ptCount val="18"/>
                <c:pt idx="0">
                  <c:v>0.889</c:v>
                </c:pt>
                <c:pt idx="1">
                  <c:v>0.629863319879363</c:v>
                </c:pt>
                <c:pt idx="2">
                  <c:v>0.623321947047993</c:v>
                </c:pt>
                <c:pt idx="3">
                  <c:v>0.534419465295833</c:v>
                </c:pt>
                <c:pt idx="4">
                  <c:v>0.475763586197454</c:v>
                </c:pt>
                <c:pt idx="5">
                  <c:v>0.446991437753093</c:v>
                </c:pt>
                <c:pt idx="6">
                  <c:v>0.38741540655041</c:v>
                </c:pt>
                <c:pt idx="7">
                  <c:v>0.344921163384631</c:v>
                </c:pt>
                <c:pt idx="8">
                  <c:v>0.292265377650402</c:v>
                </c:pt>
                <c:pt idx="9">
                  <c:v>0.220751862299443</c:v>
                </c:pt>
                <c:pt idx="10">
                  <c:v>0.214852264554754</c:v>
                </c:pt>
                <c:pt idx="11">
                  <c:v>0.180663042786286</c:v>
                </c:pt>
                <c:pt idx="12">
                  <c:v>0.167137818863217</c:v>
                </c:pt>
                <c:pt idx="13">
                  <c:v>0.166320073793118</c:v>
                </c:pt>
                <c:pt idx="14">
                  <c:v>0.129689210892798</c:v>
                </c:pt>
                <c:pt idx="15">
                  <c:v>0.117272304732163</c:v>
                </c:pt>
                <c:pt idx="16">
                  <c:v>0.111622968771</c:v>
                </c:pt>
                <c:pt idx="17">
                  <c:v>0.0537821589141193</c:v>
                </c:pt>
              </c:numCache>
            </c:numRef>
          </c:val>
        </c:ser>
        <c:ser>
          <c:idx val="1"/>
          <c:order val="1"/>
          <c:tx>
            <c:strRef>
              <c:f>Sheet1!$C$1</c:f>
              <c:strCache>
                <c:ptCount val="1"/>
                <c:pt idx="0">
                  <c:v>高中生网民</c:v>
                </c:pt>
              </c:strCache>
            </c:strRef>
          </c:tx>
          <c:spPr>
            <a:solidFill>
              <a:srgbClr val="FF0000">
                <a:alpha val="70000"/>
              </a:srgbClr>
            </a:solidFill>
          </c:spPr>
          <c:invertIfNegative val="0"/>
          <c:dLbls>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Sheet1!$A$2:$A$19</c:f>
              <c:strCache>
                <c:ptCount val="18"/>
                <c:pt idx="0">
                  <c:v>网上学习</c:v>
                </c:pt>
                <c:pt idx="1">
                  <c:v>听音乐</c:v>
                </c:pt>
                <c:pt idx="2">
                  <c:v>玩游戏</c:v>
                </c:pt>
                <c:pt idx="3">
                  <c:v>聊天</c:v>
                </c:pt>
                <c:pt idx="4">
                  <c:v>看短视频</c:v>
                </c:pt>
                <c:pt idx="5">
                  <c:v>搜索信息</c:v>
                </c:pt>
                <c:pt idx="6">
                  <c:v>看视频</c:v>
                </c:pt>
                <c:pt idx="7">
                  <c:v>使用社交网站</c:v>
                </c:pt>
                <c:pt idx="8">
                  <c:v>看动画、漫画</c:v>
                </c:pt>
                <c:pt idx="9">
                  <c:v>网上购物</c:v>
                </c:pt>
                <c:pt idx="10">
                  <c:v>看小说</c:v>
                </c:pt>
                <c:pt idx="11">
                  <c:v>看新闻资讯</c:v>
                </c:pt>
                <c:pt idx="12">
                  <c:v>看直播</c:v>
                </c:pt>
                <c:pt idx="13">
                  <c:v>听电台、听书</c:v>
                </c:pt>
                <c:pt idx="14">
                  <c:v>进行内容创作</c:v>
                </c:pt>
                <c:pt idx="15">
                  <c:v>逛微博</c:v>
                </c:pt>
                <c:pt idx="16">
                  <c:v>逛论坛</c:v>
                </c:pt>
                <c:pt idx="17">
                  <c:v>粉丝应援</c:v>
                </c:pt>
              </c:strCache>
            </c:strRef>
          </c:cat>
          <c:val>
            <c:numRef>
              <c:f>Sheet1!$C$2:$C$19</c:f>
              <c:numCache>
                <c:formatCode>0.0%</c:formatCode>
                <c:ptCount val="18"/>
                <c:pt idx="0">
                  <c:v>0.917</c:v>
                </c:pt>
                <c:pt idx="1">
                  <c:v>0.800385530929594</c:v>
                </c:pt>
                <c:pt idx="2">
                  <c:v>0.78404113632705</c:v>
                </c:pt>
                <c:pt idx="3">
                  <c:v>0.769893515340397</c:v>
                </c:pt>
                <c:pt idx="4">
                  <c:v>0.651019031423309</c:v>
                </c:pt>
                <c:pt idx="5">
                  <c:v>0.533504439864045</c:v>
                </c:pt>
                <c:pt idx="6">
                  <c:v>0.551458119688439</c:v>
                </c:pt>
                <c:pt idx="7">
                  <c:v>0.584179539379849</c:v>
                </c:pt>
                <c:pt idx="8">
                  <c:v>0.390342274428148</c:v>
                </c:pt>
                <c:pt idx="9">
                  <c:v>0.475029590618157</c:v>
                </c:pt>
                <c:pt idx="10">
                  <c:v>0.420449228951083</c:v>
                </c:pt>
                <c:pt idx="11">
                  <c:v>0.26491644416025</c:v>
                </c:pt>
                <c:pt idx="12">
                  <c:v>0.238292055689898</c:v>
                </c:pt>
                <c:pt idx="13">
                  <c:v>0.187984441852698</c:v>
                </c:pt>
                <c:pt idx="14">
                  <c:v>0.167319359826888</c:v>
                </c:pt>
                <c:pt idx="15">
                  <c:v>0.242024251473353</c:v>
                </c:pt>
                <c:pt idx="16">
                  <c:v>0.248468386973337</c:v>
                </c:pt>
                <c:pt idx="17">
                  <c:v>0.0810483702675043</c:v>
                </c:pt>
              </c:numCache>
            </c:numRef>
          </c:val>
        </c:ser>
        <c:dLbls>
          <c:showLegendKey val="0"/>
          <c:showVal val="0"/>
          <c:showCatName val="0"/>
          <c:showSerName val="0"/>
          <c:showPercent val="0"/>
          <c:showBubbleSize val="0"/>
        </c:dLbls>
        <c:gapWidth val="100"/>
        <c:overlap val="-20"/>
        <c:axId val="412494848"/>
        <c:axId val="412775168"/>
      </c:barChart>
      <c:catAx>
        <c:axId val="412494848"/>
        <c:scaling>
          <c:orientation val="maxMin"/>
        </c:scaling>
        <c:delete val="0"/>
        <c:axPos val="l"/>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12775168"/>
        <c:crosses val="autoZero"/>
        <c:auto val="1"/>
        <c:lblAlgn val="ctr"/>
        <c:lblOffset val="100"/>
        <c:noMultiLvlLbl val="0"/>
      </c:catAx>
      <c:valAx>
        <c:axId val="412775168"/>
        <c:scaling>
          <c:orientation val="minMax"/>
        </c:scaling>
        <c:delete val="0"/>
        <c:axPos val="t"/>
        <c:majorGridlines>
          <c:spPr>
            <a:ln w="9525" cap="flat" cmpd="sng" algn="ctr">
              <a:solidFill>
                <a:sysClr val="window" lastClr="FFFFFF">
                  <a:lumMod val="85000"/>
                </a:sysClr>
              </a:solidFill>
              <a:prstDash val="dash"/>
              <a:round/>
            </a:ln>
          </c:spPr>
        </c:majorGridlines>
        <c:numFmt formatCode="0%" sourceLinked="0"/>
        <c:majorTickMark val="in"/>
        <c:minorTickMark val="none"/>
        <c:tickLblPos val="nextTo"/>
        <c:spPr>
          <a:ln w="9525"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12494848"/>
        <c:crosses val="autoZero"/>
        <c:crossBetween val="between"/>
        <c:majorUnit val="0.1"/>
      </c:valAx>
      <c:spPr>
        <a:noFill/>
        <a:ln w="12700">
          <a:noFill/>
        </a:ln>
      </c:spPr>
    </c:plotArea>
    <c:legend>
      <c:legendPos val="b"/>
      <c:layout>
        <c:manualLayout>
          <c:xMode val="edge"/>
          <c:yMode val="edge"/>
          <c:x val="0.258455574756234"/>
          <c:y val="0.955648130190623"/>
          <c:w val="0.485700099304883"/>
          <c:h val="0.0374387947269304"/>
        </c:manualLayout>
      </c:layout>
      <c:overlay val="0"/>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legend>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81425884947108"/>
          <c:y val="0.0490784389656211"/>
          <c:w val="0.779534987371861"/>
          <c:h val="0.904456951077837"/>
        </c:manualLayout>
      </c:layout>
      <c:barChart>
        <c:barDir val="bar"/>
        <c:grouping val="clustered"/>
        <c:varyColors val="0"/>
        <c:ser>
          <c:idx val="0"/>
          <c:order val="0"/>
          <c:tx>
            <c:strRef>
              <c:f>Sheet1!$B$1</c:f>
              <c:strCache>
                <c:ptCount val="1"/>
                <c:pt idx="0">
                  <c:v>未成年网民平均水平</c:v>
                </c:pt>
              </c:strCache>
            </c:strRef>
          </c:tx>
          <c:spPr>
            <a:solidFill>
              <a:srgbClr val="5B9BD5"/>
            </a:solidFill>
          </c:spPr>
          <c:invertIfNegative val="0"/>
          <c:dLbls>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Sheet1!$A$2:$A$19</c:f>
              <c:strCache>
                <c:ptCount val="18"/>
                <c:pt idx="0">
                  <c:v>网上学习</c:v>
                </c:pt>
                <c:pt idx="1">
                  <c:v>听音乐</c:v>
                </c:pt>
                <c:pt idx="2">
                  <c:v>玩游戏</c:v>
                </c:pt>
                <c:pt idx="3">
                  <c:v>聊天</c:v>
                </c:pt>
                <c:pt idx="4">
                  <c:v>看短视频</c:v>
                </c:pt>
                <c:pt idx="5">
                  <c:v>搜索信息</c:v>
                </c:pt>
                <c:pt idx="6">
                  <c:v>看视频</c:v>
                </c:pt>
                <c:pt idx="7">
                  <c:v>使用社交网站</c:v>
                </c:pt>
                <c:pt idx="8">
                  <c:v>看动画、漫画</c:v>
                </c:pt>
                <c:pt idx="9">
                  <c:v>网上购物</c:v>
                </c:pt>
                <c:pt idx="10">
                  <c:v>看小说</c:v>
                </c:pt>
                <c:pt idx="11">
                  <c:v>看新闻资讯</c:v>
                </c:pt>
                <c:pt idx="12">
                  <c:v>看直播</c:v>
                </c:pt>
                <c:pt idx="13">
                  <c:v>听电台、听书</c:v>
                </c:pt>
                <c:pt idx="14">
                  <c:v>进行内容创作</c:v>
                </c:pt>
                <c:pt idx="15">
                  <c:v>逛微博</c:v>
                </c:pt>
                <c:pt idx="16">
                  <c:v>逛论坛</c:v>
                </c:pt>
                <c:pt idx="17">
                  <c:v>粉丝应援</c:v>
                </c:pt>
              </c:strCache>
            </c:strRef>
          </c:cat>
          <c:val>
            <c:numRef>
              <c:f>Sheet1!$B$2:$B$19</c:f>
              <c:numCache>
                <c:formatCode>0.0%</c:formatCode>
                <c:ptCount val="18"/>
                <c:pt idx="0">
                  <c:v>0.889</c:v>
                </c:pt>
                <c:pt idx="1">
                  <c:v>0.629863319879363</c:v>
                </c:pt>
                <c:pt idx="2">
                  <c:v>0.623321947047993</c:v>
                </c:pt>
                <c:pt idx="3">
                  <c:v>0.534419465295833</c:v>
                </c:pt>
                <c:pt idx="4">
                  <c:v>0.475763586197454</c:v>
                </c:pt>
                <c:pt idx="5">
                  <c:v>0.446991437753093</c:v>
                </c:pt>
                <c:pt idx="6">
                  <c:v>0.38741540655041</c:v>
                </c:pt>
                <c:pt idx="7">
                  <c:v>0.344921163384631</c:v>
                </c:pt>
                <c:pt idx="8">
                  <c:v>0.292265377650402</c:v>
                </c:pt>
                <c:pt idx="9">
                  <c:v>0.220751862299443</c:v>
                </c:pt>
                <c:pt idx="10">
                  <c:v>0.214852264554754</c:v>
                </c:pt>
                <c:pt idx="11">
                  <c:v>0.180663042786286</c:v>
                </c:pt>
                <c:pt idx="12">
                  <c:v>0.167137818863217</c:v>
                </c:pt>
                <c:pt idx="13">
                  <c:v>0.166320073793118</c:v>
                </c:pt>
                <c:pt idx="14">
                  <c:v>0.129689210892798</c:v>
                </c:pt>
                <c:pt idx="15">
                  <c:v>0.117272304732163</c:v>
                </c:pt>
                <c:pt idx="16">
                  <c:v>0.111622968771</c:v>
                </c:pt>
                <c:pt idx="17">
                  <c:v>0.0537821589141193</c:v>
                </c:pt>
              </c:numCache>
            </c:numRef>
          </c:val>
        </c:ser>
        <c:ser>
          <c:idx val="1"/>
          <c:order val="1"/>
          <c:tx>
            <c:strRef>
              <c:f>Sheet1!$C$1</c:f>
              <c:strCache>
                <c:ptCount val="1"/>
                <c:pt idx="0">
                  <c:v>中等职业教育学生网民</c:v>
                </c:pt>
              </c:strCache>
            </c:strRef>
          </c:tx>
          <c:spPr>
            <a:solidFill>
              <a:srgbClr val="FF0000">
                <a:alpha val="70000"/>
              </a:srgbClr>
            </a:solidFill>
          </c:spPr>
          <c:invertIfNegative val="0"/>
          <c:dLbls>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Sheet1!$A$2:$A$19</c:f>
              <c:strCache>
                <c:ptCount val="18"/>
                <c:pt idx="0">
                  <c:v>网上学习</c:v>
                </c:pt>
                <c:pt idx="1">
                  <c:v>听音乐</c:v>
                </c:pt>
                <c:pt idx="2">
                  <c:v>玩游戏</c:v>
                </c:pt>
                <c:pt idx="3">
                  <c:v>聊天</c:v>
                </c:pt>
                <c:pt idx="4">
                  <c:v>看短视频</c:v>
                </c:pt>
                <c:pt idx="5">
                  <c:v>搜索信息</c:v>
                </c:pt>
                <c:pt idx="6">
                  <c:v>看视频</c:v>
                </c:pt>
                <c:pt idx="7">
                  <c:v>使用社交网站</c:v>
                </c:pt>
                <c:pt idx="8">
                  <c:v>看动画、漫画</c:v>
                </c:pt>
                <c:pt idx="9">
                  <c:v>网上购物</c:v>
                </c:pt>
                <c:pt idx="10">
                  <c:v>看小说</c:v>
                </c:pt>
                <c:pt idx="11">
                  <c:v>看新闻资讯</c:v>
                </c:pt>
                <c:pt idx="12">
                  <c:v>看直播</c:v>
                </c:pt>
                <c:pt idx="13">
                  <c:v>听电台、听书</c:v>
                </c:pt>
                <c:pt idx="14">
                  <c:v>进行内容创作</c:v>
                </c:pt>
                <c:pt idx="15">
                  <c:v>逛微博</c:v>
                </c:pt>
                <c:pt idx="16">
                  <c:v>逛论坛</c:v>
                </c:pt>
                <c:pt idx="17">
                  <c:v>粉丝应援</c:v>
                </c:pt>
              </c:strCache>
            </c:strRef>
          </c:cat>
          <c:val>
            <c:numRef>
              <c:f>Sheet1!$C$2:$C$19</c:f>
              <c:numCache>
                <c:formatCode>0.0%</c:formatCode>
                <c:ptCount val="18"/>
                <c:pt idx="0">
                  <c:v>0.85</c:v>
                </c:pt>
                <c:pt idx="1">
                  <c:v>0.766232679741734</c:v>
                </c:pt>
                <c:pt idx="2">
                  <c:v>0.796442251553939</c:v>
                </c:pt>
                <c:pt idx="3">
                  <c:v>0.779590165919882</c:v>
                </c:pt>
                <c:pt idx="4">
                  <c:v>0.6474455516762</c:v>
                </c:pt>
                <c:pt idx="5">
                  <c:v>0.46306282227208</c:v>
                </c:pt>
                <c:pt idx="6">
                  <c:v>0.544679019735924</c:v>
                </c:pt>
                <c:pt idx="7">
                  <c:v>0.539626558072826</c:v>
                </c:pt>
                <c:pt idx="8">
                  <c:v>0.373043226750202</c:v>
                </c:pt>
                <c:pt idx="9">
                  <c:v>0.44128145972864</c:v>
                </c:pt>
                <c:pt idx="10">
                  <c:v>0.387833167965628</c:v>
                </c:pt>
                <c:pt idx="11">
                  <c:v>0.234821754895491</c:v>
                </c:pt>
                <c:pt idx="12">
                  <c:v>0.310993986928577</c:v>
                </c:pt>
                <c:pt idx="13">
                  <c:v>0.184610918397119</c:v>
                </c:pt>
                <c:pt idx="14">
                  <c:v>0.172992138225297</c:v>
                </c:pt>
                <c:pt idx="15">
                  <c:v>0.197935534068717</c:v>
                </c:pt>
                <c:pt idx="16">
                  <c:v>0.194574225123511</c:v>
                </c:pt>
                <c:pt idx="17">
                  <c:v>0.0692662750671475</c:v>
                </c:pt>
              </c:numCache>
            </c:numRef>
          </c:val>
        </c:ser>
        <c:dLbls>
          <c:showLegendKey val="0"/>
          <c:showVal val="0"/>
          <c:showCatName val="0"/>
          <c:showSerName val="0"/>
          <c:showPercent val="0"/>
          <c:showBubbleSize val="0"/>
        </c:dLbls>
        <c:gapWidth val="100"/>
        <c:overlap val="-20"/>
        <c:axId val="412637824"/>
        <c:axId val="412844416"/>
      </c:barChart>
      <c:catAx>
        <c:axId val="412637824"/>
        <c:scaling>
          <c:orientation val="maxMin"/>
        </c:scaling>
        <c:delete val="0"/>
        <c:axPos val="l"/>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12844416"/>
        <c:crosses val="autoZero"/>
        <c:auto val="1"/>
        <c:lblAlgn val="ctr"/>
        <c:lblOffset val="100"/>
        <c:noMultiLvlLbl val="0"/>
      </c:catAx>
      <c:valAx>
        <c:axId val="412844416"/>
        <c:scaling>
          <c:orientation val="minMax"/>
        </c:scaling>
        <c:delete val="0"/>
        <c:axPos val="t"/>
        <c:majorGridlines>
          <c:spPr>
            <a:ln w="9525" cap="flat" cmpd="sng" algn="ctr">
              <a:solidFill>
                <a:sysClr val="window" lastClr="FFFFFF">
                  <a:lumMod val="85000"/>
                </a:sysClr>
              </a:solidFill>
              <a:prstDash val="dash"/>
              <a:round/>
            </a:ln>
          </c:spPr>
        </c:majorGridlines>
        <c:numFmt formatCode="0%" sourceLinked="0"/>
        <c:majorTickMark val="in"/>
        <c:minorTickMark val="none"/>
        <c:tickLblPos val="nextTo"/>
        <c:spPr>
          <a:ln w="9525"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12637824"/>
        <c:crosses val="autoZero"/>
        <c:crossBetween val="between"/>
        <c:majorUnit val="0.1"/>
      </c:valAx>
      <c:spPr>
        <a:noFill/>
        <a:ln w="12700">
          <a:noFill/>
        </a:ln>
      </c:spPr>
    </c:plotArea>
    <c:legend>
      <c:legendPos val="b"/>
      <c:layout>
        <c:manualLayout>
          <c:xMode val="edge"/>
          <c:yMode val="edge"/>
          <c:x val="0.218733628380861"/>
          <c:y val="0.962151542532593"/>
          <c:w val="0.560675273088415"/>
          <c:h val="0.0374387947269304"/>
        </c:manualLayout>
      </c:layout>
      <c:overlay val="0"/>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legend>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81425884947108"/>
          <c:y val="0.0596421557145174"/>
          <c:w val="0.783467724429183"/>
          <c:h val="0.84807510045226"/>
        </c:manualLayout>
      </c:layout>
      <c:barChart>
        <c:barDir val="bar"/>
        <c:grouping val="clustered"/>
        <c:varyColors val="0"/>
        <c:ser>
          <c:idx val="0"/>
          <c:order val="0"/>
          <c:tx>
            <c:strRef>
              <c:f>Sheet1!$B$1</c:f>
              <c:strCache>
                <c:ptCount val="1"/>
                <c:pt idx="0">
                  <c:v>2020年</c:v>
                </c:pt>
              </c:strCache>
            </c:strRef>
          </c:tx>
          <c:spPr>
            <a:solidFill>
              <a:srgbClr val="5B9BD5"/>
            </a:solidFill>
          </c:spPr>
          <c:invertIfNegative val="0"/>
          <c:dLbls>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Sheet1!$A$2:$A$7</c:f>
              <c:strCache>
                <c:ptCount val="6"/>
                <c:pt idx="0">
                  <c:v>复习学过的知识</c:v>
                </c:pt>
                <c:pt idx="1">
                  <c:v>做作业</c:v>
                </c:pt>
                <c:pt idx="2">
                  <c:v>学习课外知识</c:v>
                </c:pt>
                <c:pt idx="3">
                  <c:v>背单词</c:v>
                </c:pt>
                <c:pt idx="4">
                  <c:v>在线答疑</c:v>
                </c:pt>
                <c:pt idx="5">
                  <c:v>没有在网上进行过上述活动</c:v>
                </c:pt>
              </c:strCache>
            </c:strRef>
          </c:cat>
          <c:val>
            <c:numRef>
              <c:f>Sheet1!$B$2:$B$7</c:f>
              <c:numCache>
                <c:formatCode>0.0%</c:formatCode>
                <c:ptCount val="6"/>
                <c:pt idx="0">
                  <c:v>0.4668591277477</c:v>
                </c:pt>
                <c:pt idx="1">
                  <c:v>0.496831033932292</c:v>
                </c:pt>
                <c:pt idx="2">
                  <c:v>0.35929937994081</c:v>
                </c:pt>
                <c:pt idx="3">
                  <c:v>0.374783100474512</c:v>
                </c:pt>
                <c:pt idx="4">
                  <c:v>0.378702192263333</c:v>
                </c:pt>
                <c:pt idx="5">
                  <c:v>0.100605165114527</c:v>
                </c:pt>
              </c:numCache>
            </c:numRef>
          </c:val>
        </c:ser>
        <c:ser>
          <c:idx val="1"/>
          <c:order val="1"/>
          <c:tx>
            <c:strRef>
              <c:f>Sheet1!$C$1</c:f>
              <c:strCache>
                <c:ptCount val="1"/>
                <c:pt idx="0">
                  <c:v>2021年</c:v>
                </c:pt>
              </c:strCache>
            </c:strRef>
          </c:tx>
          <c:spPr>
            <a:solidFill>
              <a:srgbClr val="FF0000">
                <a:alpha val="70000"/>
              </a:srgbClr>
            </a:solidFill>
          </c:spPr>
          <c:invertIfNegative val="0"/>
          <c:dLbls>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Sheet1!$A$2:$A$7</c:f>
              <c:strCache>
                <c:ptCount val="6"/>
                <c:pt idx="0">
                  <c:v>复习学过的知识</c:v>
                </c:pt>
                <c:pt idx="1">
                  <c:v>做作业</c:v>
                </c:pt>
                <c:pt idx="2">
                  <c:v>学习课外知识</c:v>
                </c:pt>
                <c:pt idx="3">
                  <c:v>背单词</c:v>
                </c:pt>
                <c:pt idx="4">
                  <c:v>在线答疑</c:v>
                </c:pt>
                <c:pt idx="5">
                  <c:v>没有在网上进行过上述活动</c:v>
                </c:pt>
              </c:strCache>
            </c:strRef>
          </c:cat>
          <c:val>
            <c:numRef>
              <c:f>Sheet1!$C$2:$C$7</c:f>
              <c:numCache>
                <c:formatCode>0.0%</c:formatCode>
                <c:ptCount val="6"/>
                <c:pt idx="0">
                  <c:v>0.494530916127779</c:v>
                </c:pt>
                <c:pt idx="1">
                  <c:v>0.417138075192896</c:v>
                </c:pt>
                <c:pt idx="2">
                  <c:v>0.397530633751115</c:v>
                </c:pt>
                <c:pt idx="3">
                  <c:v>0.381725943870121</c:v>
                </c:pt>
                <c:pt idx="4">
                  <c:v>0.327029407943679</c:v>
                </c:pt>
                <c:pt idx="5">
                  <c:v>0.110562424814089</c:v>
                </c:pt>
              </c:numCache>
            </c:numRef>
          </c:val>
        </c:ser>
        <c:dLbls>
          <c:showLegendKey val="0"/>
          <c:showVal val="0"/>
          <c:showCatName val="0"/>
          <c:showSerName val="0"/>
          <c:showPercent val="0"/>
          <c:showBubbleSize val="0"/>
        </c:dLbls>
        <c:gapWidth val="100"/>
        <c:overlap val="-20"/>
        <c:axId val="412637824"/>
        <c:axId val="412844416"/>
      </c:barChart>
      <c:catAx>
        <c:axId val="412637824"/>
        <c:scaling>
          <c:orientation val="maxMin"/>
        </c:scaling>
        <c:delete val="0"/>
        <c:axPos val="l"/>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12844416"/>
        <c:crosses val="autoZero"/>
        <c:auto val="1"/>
        <c:lblAlgn val="ctr"/>
        <c:lblOffset val="100"/>
        <c:noMultiLvlLbl val="0"/>
      </c:catAx>
      <c:valAx>
        <c:axId val="412844416"/>
        <c:scaling>
          <c:orientation val="minMax"/>
        </c:scaling>
        <c:delete val="0"/>
        <c:axPos val="t"/>
        <c:majorGridlines>
          <c:spPr>
            <a:ln w="9525" cap="flat" cmpd="sng" algn="ctr">
              <a:solidFill>
                <a:sysClr val="window" lastClr="FFFFFF">
                  <a:lumMod val="85000"/>
                </a:sysClr>
              </a:solidFill>
              <a:prstDash val="dash"/>
              <a:round/>
            </a:ln>
          </c:spPr>
        </c:majorGridlines>
        <c:numFmt formatCode="0%" sourceLinked="0"/>
        <c:majorTickMark val="in"/>
        <c:minorTickMark val="none"/>
        <c:tickLblPos val="nextTo"/>
        <c:spPr>
          <a:ln w="9525"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12637824"/>
        <c:crosses val="autoZero"/>
        <c:crossBetween val="between"/>
        <c:majorUnit val="0.1"/>
      </c:valAx>
      <c:spPr>
        <a:noFill/>
        <a:ln w="12700">
          <a:noFill/>
        </a:ln>
      </c:spPr>
    </c:plotArea>
    <c:legend>
      <c:legendPos val="b"/>
      <c:layout>
        <c:manualLayout>
          <c:xMode val="edge"/>
          <c:yMode val="edge"/>
          <c:x val="0.228900597951572"/>
          <c:y val="0.931960575866232"/>
          <c:w val="0.547268170426065"/>
          <c:h val="0.0454919908466819"/>
        </c:manualLayout>
      </c:layout>
      <c:overlay val="0"/>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legend>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86047504931449"/>
          <c:y val="0.121850288713911"/>
          <c:w val="0.424176325785364"/>
          <c:h val="0.819508661417323"/>
        </c:manualLayout>
      </c:layout>
      <c:pieChart>
        <c:varyColors val="1"/>
        <c:ser>
          <c:idx val="0"/>
          <c:order val="0"/>
          <c:tx>
            <c:strRef>
              <c:f>Sheet1!$B$1</c:f>
              <c:strCache>
                <c:ptCount val="1"/>
                <c:pt idx="0">
                  <c:v>列2</c:v>
                </c:pt>
              </c:strCache>
            </c:strRef>
          </c:tx>
          <c:spPr>
            <a:solidFill>
              <a:srgbClr val="558ED5"/>
            </a:solidFill>
            <a:ln w="9525" cap="flat" cmpd="sng" algn="ctr">
              <a:solidFill>
                <a:srgbClr val="FFFFFF"/>
              </a:solidFill>
              <a:prstDash val="solid"/>
              <a:round/>
            </a:ln>
          </c:spPr>
          <c:explosion val="0"/>
          <c:dPt>
            <c:idx val="0"/>
            <c:bubble3D val="0"/>
            <c:spPr>
              <a:solidFill>
                <a:srgbClr val="558ED5"/>
              </a:solidFill>
              <a:ln w="9525" cap="flat" cmpd="sng" algn="ctr">
                <a:solidFill>
                  <a:srgbClr val="FFFFFF"/>
                </a:solidFill>
                <a:prstDash val="solid"/>
                <a:round/>
              </a:ln>
            </c:spPr>
          </c:dPt>
          <c:dPt>
            <c:idx val="1"/>
            <c:bubble3D val="0"/>
            <c:spPr>
              <a:solidFill>
                <a:srgbClr val="C6D9F1"/>
              </a:solidFill>
              <a:ln w="9525" cap="flat" cmpd="sng" algn="ctr">
                <a:solidFill>
                  <a:srgbClr val="FFFFFF"/>
                </a:solidFill>
                <a:prstDash val="solid"/>
                <a:round/>
              </a:ln>
            </c:spPr>
          </c:dPt>
          <c:dPt>
            <c:idx val="2"/>
            <c:bubble3D val="0"/>
            <c:spPr>
              <a:solidFill>
                <a:srgbClr val="4F81BD">
                  <a:lumMod val="60000"/>
                  <a:lumOff val="40000"/>
                </a:srgbClr>
              </a:solidFill>
              <a:ln w="9525" cap="flat" cmpd="sng" algn="ctr">
                <a:solidFill>
                  <a:srgbClr val="FFFFFF"/>
                </a:solidFill>
                <a:prstDash val="solid"/>
                <a:round/>
              </a:ln>
            </c:spPr>
          </c:dPt>
          <c:dPt>
            <c:idx val="3"/>
            <c:bubble3D val="0"/>
            <c:spPr>
              <a:solidFill>
                <a:srgbClr val="1F497D">
                  <a:lumMod val="40000"/>
                  <a:lumOff val="60000"/>
                </a:srgbClr>
              </a:solidFill>
              <a:ln w="9525" cap="flat" cmpd="sng" algn="ctr">
                <a:solidFill>
                  <a:srgbClr val="FFFFFF"/>
                </a:solidFill>
                <a:prstDash val="solid"/>
                <a:round/>
              </a:ln>
            </c:spPr>
          </c:dPt>
          <c:dLbls>
            <c:dLbl>
              <c:idx val="1"/>
              <c:layout>
                <c:manualLayout>
                  <c:x val="-0.0936811159474632"/>
                  <c:y val="-0.204026456692913"/>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2"/>
              <c:layout>
                <c:manualLayout>
                  <c:x val="-0.0256541845312814"/>
                  <c:y val="0.0170200524934383"/>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3"/>
              <c:layout>
                <c:manualLayout>
                  <c:x val="0.0327150410546507"/>
                  <c:y val="0.0279114862931496"/>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Arial" panose="020B0604020202020204" pitchFamily="2" charset="0"/>
                    <a:ea typeface="黑体" panose="02010609060101010101" charset="-122"/>
                    <a:cs typeface="Arial" panose="020B0604020202020204" pitchFamily="2" charset="0"/>
                  </a:defRPr>
                </a:pPr>
              </a:p>
            </c:txPr>
            <c:dLblPos val="bestFit"/>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ext>
            </c:extLst>
          </c:dLbls>
          <c:cat>
            <c:strRef>
              <c:f>Sheet1!$A$2:$A$5</c:f>
              <c:strCache>
                <c:ptCount val="4"/>
                <c:pt idx="0">
                  <c:v>对我的学习非常有帮助</c:v>
                </c:pt>
                <c:pt idx="1">
                  <c:v>对我的学习有些帮助</c:v>
                </c:pt>
                <c:pt idx="2">
                  <c:v>没有什么影响</c:v>
                </c:pt>
                <c:pt idx="3">
                  <c:v>占用我较多时间，使我的学习退步了</c:v>
                </c:pt>
              </c:strCache>
            </c:strRef>
          </c:cat>
          <c:val>
            <c:numRef>
              <c:f>Sheet1!$B$2:$B$5</c:f>
              <c:numCache>
                <c:formatCode>0.0%</c:formatCode>
                <c:ptCount val="4"/>
                <c:pt idx="0">
                  <c:v>0.202554659611033</c:v>
                </c:pt>
                <c:pt idx="1">
                  <c:v>0.515856169286015</c:v>
                </c:pt>
                <c:pt idx="2">
                  <c:v>0.199880670963934</c:v>
                </c:pt>
                <c:pt idx="3">
                  <c:v>0.0817085001390181</c:v>
                </c:pt>
              </c:numCache>
            </c:numRef>
          </c:val>
        </c:ser>
        <c:dLbls>
          <c:showLegendKey val="0"/>
          <c:showVal val="0"/>
          <c:showCatName val="0"/>
          <c:showSerName val="0"/>
          <c:showPercent val="0"/>
          <c:showBubbleSize val="0"/>
          <c:showLeaderLines val="1"/>
        </c:dLbls>
        <c:firstSliceAng val="45"/>
      </c:pieChart>
      <c:spPr>
        <a:noFill/>
        <a:ln w="12700">
          <a:noFill/>
        </a:ln>
      </c:spPr>
    </c:plotArea>
    <c:plotVisOnly val="1"/>
    <c:dispBlanksAs val="zero"/>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55358357638264"/>
          <c:y val="0.0785610705069112"/>
          <c:w val="0.809866368491426"/>
          <c:h val="0.836073082276993"/>
        </c:manualLayout>
      </c:layout>
      <c:barChart>
        <c:barDir val="bar"/>
        <c:grouping val="clustered"/>
        <c:varyColors val="0"/>
        <c:ser>
          <c:idx val="0"/>
          <c:order val="0"/>
          <c:tx>
            <c:strRef>
              <c:f>Sheet1!$B$1</c:f>
              <c:strCache>
                <c:ptCount val="1"/>
                <c:pt idx="0">
                  <c:v>2020年</c:v>
                </c:pt>
              </c:strCache>
            </c:strRef>
          </c:tx>
          <c:spPr>
            <a:solidFill>
              <a:srgbClr val="5B9BD5"/>
            </a:solidFill>
          </c:spPr>
          <c:invertIfNegative val="0"/>
          <c:dLbls>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Sheet1!$A$2:$A$8</c:f>
              <c:strCache>
                <c:ptCount val="7"/>
                <c:pt idx="0">
                  <c:v>听音乐</c:v>
                </c:pt>
                <c:pt idx="1">
                  <c:v>玩游戏</c:v>
                </c:pt>
                <c:pt idx="2">
                  <c:v>看短视频</c:v>
                </c:pt>
                <c:pt idx="3">
                  <c:v>看视频</c:v>
                </c:pt>
                <c:pt idx="4">
                  <c:v>看动画、漫画</c:v>
                </c:pt>
                <c:pt idx="5">
                  <c:v>看小说</c:v>
                </c:pt>
                <c:pt idx="6">
                  <c:v>看直播</c:v>
                </c:pt>
              </c:strCache>
            </c:strRef>
          </c:cat>
          <c:val>
            <c:numRef>
              <c:f>Sheet1!$B$2:$B$8</c:f>
              <c:numCache>
                <c:formatCode>0.0%</c:formatCode>
                <c:ptCount val="7"/>
                <c:pt idx="0">
                  <c:v>0.647998883043251</c:v>
                </c:pt>
                <c:pt idx="1">
                  <c:v>0.625417814243296</c:v>
                </c:pt>
                <c:pt idx="2">
                  <c:v>0.492584080503462</c:v>
                </c:pt>
                <c:pt idx="3">
                  <c:v>0.429400391053419</c:v>
                </c:pt>
                <c:pt idx="4">
                  <c:v>0.291726598783566</c:v>
                </c:pt>
                <c:pt idx="5">
                  <c:v>0.210678333997961</c:v>
                </c:pt>
                <c:pt idx="6">
                  <c:v>0.181994427151076</c:v>
                </c:pt>
              </c:numCache>
            </c:numRef>
          </c:val>
        </c:ser>
        <c:ser>
          <c:idx val="1"/>
          <c:order val="1"/>
          <c:tx>
            <c:strRef>
              <c:f>Sheet1!$C$1</c:f>
              <c:strCache>
                <c:ptCount val="1"/>
                <c:pt idx="0">
                  <c:v>2021年</c:v>
                </c:pt>
              </c:strCache>
            </c:strRef>
          </c:tx>
          <c:spPr>
            <a:solidFill>
              <a:srgbClr val="FF0000">
                <a:alpha val="70000"/>
              </a:srgbClr>
            </a:solidFill>
          </c:spPr>
          <c:invertIfNegative val="0"/>
          <c:dLbls>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Sheet1!$A$2:$A$8</c:f>
              <c:strCache>
                <c:ptCount val="7"/>
                <c:pt idx="0">
                  <c:v>听音乐</c:v>
                </c:pt>
                <c:pt idx="1">
                  <c:v>玩游戏</c:v>
                </c:pt>
                <c:pt idx="2">
                  <c:v>看短视频</c:v>
                </c:pt>
                <c:pt idx="3">
                  <c:v>看视频</c:v>
                </c:pt>
                <c:pt idx="4">
                  <c:v>看动画、漫画</c:v>
                </c:pt>
                <c:pt idx="5">
                  <c:v>看小说</c:v>
                </c:pt>
                <c:pt idx="6">
                  <c:v>看直播</c:v>
                </c:pt>
              </c:strCache>
            </c:strRef>
          </c:cat>
          <c:val>
            <c:numRef>
              <c:f>Sheet1!$C$2:$C$8</c:f>
              <c:numCache>
                <c:formatCode>0.0%</c:formatCode>
                <c:ptCount val="7"/>
                <c:pt idx="0">
                  <c:v>0.629863319879363</c:v>
                </c:pt>
                <c:pt idx="1">
                  <c:v>0.623321947047993</c:v>
                </c:pt>
                <c:pt idx="2">
                  <c:v>0.475763586197454</c:v>
                </c:pt>
                <c:pt idx="3">
                  <c:v>0.38741540655041</c:v>
                </c:pt>
                <c:pt idx="4">
                  <c:v>0.292265377650402</c:v>
                </c:pt>
                <c:pt idx="5">
                  <c:v>0.214852264554754</c:v>
                </c:pt>
                <c:pt idx="6">
                  <c:v>0.167137818863217</c:v>
                </c:pt>
              </c:numCache>
            </c:numRef>
          </c:val>
        </c:ser>
        <c:dLbls>
          <c:showLegendKey val="0"/>
          <c:showVal val="0"/>
          <c:showCatName val="0"/>
          <c:showSerName val="0"/>
          <c:showPercent val="0"/>
          <c:showBubbleSize val="0"/>
        </c:dLbls>
        <c:gapWidth val="100"/>
        <c:overlap val="-20"/>
        <c:axId val="412494848"/>
        <c:axId val="412775168"/>
      </c:barChart>
      <c:catAx>
        <c:axId val="412494848"/>
        <c:scaling>
          <c:orientation val="maxMin"/>
        </c:scaling>
        <c:delete val="0"/>
        <c:axPos val="l"/>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12775168"/>
        <c:crosses val="autoZero"/>
        <c:auto val="1"/>
        <c:lblAlgn val="ctr"/>
        <c:lblOffset val="100"/>
        <c:noMultiLvlLbl val="0"/>
      </c:catAx>
      <c:valAx>
        <c:axId val="412775168"/>
        <c:scaling>
          <c:orientation val="minMax"/>
        </c:scaling>
        <c:delete val="0"/>
        <c:axPos val="t"/>
        <c:majorGridlines>
          <c:spPr>
            <a:ln w="9525" cap="flat" cmpd="sng" algn="ctr">
              <a:solidFill>
                <a:sysClr val="window" lastClr="FFFFFF">
                  <a:lumMod val="85000"/>
                </a:sysClr>
              </a:solidFill>
              <a:prstDash val="dash"/>
              <a:round/>
            </a:ln>
          </c:spPr>
        </c:majorGridlines>
        <c:numFmt formatCode="0%" sourceLinked="0"/>
        <c:majorTickMark val="in"/>
        <c:minorTickMark val="none"/>
        <c:tickLblPos val="nextTo"/>
        <c:spPr>
          <a:ln w="9525"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12494848"/>
        <c:crosses val="autoZero"/>
        <c:crossBetween val="between"/>
        <c:majorUnit val="0.1"/>
      </c:valAx>
      <c:spPr>
        <a:noFill/>
        <a:ln w="12700">
          <a:noFill/>
        </a:ln>
      </c:spPr>
    </c:plotArea>
    <c:legend>
      <c:legendPos val="b"/>
      <c:layout>
        <c:manualLayout>
          <c:xMode val="edge"/>
          <c:yMode val="edge"/>
          <c:x val="0.228664114974705"/>
          <c:y val="0.932871176242185"/>
          <c:w val="0.529692154915591"/>
          <c:h val="0.0500167728950017"/>
        </c:manualLayout>
      </c:layout>
      <c:overlay val="0"/>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legend>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1"/>
    </mc:Choice>
    <mc:Fallback>
      <c:style val="11"/>
    </mc:Fallback>
  </mc:AlternateContent>
  <c:chart>
    <c:autoTitleDeleted val="1"/>
    <c:plotArea>
      <c:layout>
        <c:manualLayout>
          <c:layoutTarget val="inner"/>
          <c:xMode val="edge"/>
          <c:yMode val="edge"/>
          <c:x val="0.153176101214299"/>
          <c:y val="0.068467835572598"/>
          <c:w val="0.741607440913868"/>
          <c:h val="0.801488549990731"/>
        </c:manualLayout>
      </c:layout>
      <c:barChart>
        <c:barDir val="col"/>
        <c:grouping val="clustered"/>
        <c:varyColors val="0"/>
        <c:ser>
          <c:idx val="1"/>
          <c:order val="0"/>
          <c:tx>
            <c:strRef>
              <c:f>Sheet1!$B$1</c:f>
              <c:strCache>
                <c:ptCount val="1"/>
                <c:pt idx="0">
                  <c:v>2021年</c:v>
                </c:pt>
              </c:strCache>
            </c:strRef>
          </c:tx>
          <c:spPr>
            <a:solidFill>
              <a:srgbClr val="5B9BD5"/>
            </a:solidFill>
            <a:effectLst>
              <a:outerShdw blurRad="38100" dist="12700" dir="5400000" algn="tl" rotWithShape="0">
                <a:prstClr val="black">
                  <a:alpha val="38000"/>
                </a:prstClr>
              </a:outerShdw>
            </a:effectLst>
          </c:spPr>
          <c:invertIfNegative val="0"/>
          <c:dLbls>
            <c:dLbl>
              <c:idx val="0"/>
              <c:layout>
                <c:manualLayout>
                  <c:x val="-0.000534868625292806"/>
                  <c:y val="-4.6295761483715e-17"/>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玩电脑游戏</c:v>
                </c:pt>
                <c:pt idx="1">
                  <c:v>玩手机游戏</c:v>
                </c:pt>
              </c:strCache>
            </c:strRef>
          </c:cat>
          <c:val>
            <c:numRef>
              <c:f>Sheet1!$B$2:$B$3</c:f>
              <c:numCache>
                <c:formatCode>0.0%</c:formatCode>
                <c:ptCount val="2"/>
                <c:pt idx="0">
                  <c:v>0.268192434537222</c:v>
                </c:pt>
                <c:pt idx="1">
                  <c:v>0.531606794262919</c:v>
                </c:pt>
              </c:numCache>
            </c:numRef>
          </c:val>
        </c:ser>
        <c:dLbls>
          <c:showLegendKey val="0"/>
          <c:showVal val="1"/>
          <c:showCatName val="0"/>
          <c:showSerName val="0"/>
          <c:showPercent val="0"/>
          <c:showBubbleSize val="0"/>
        </c:dLbls>
        <c:gapWidth val="100"/>
        <c:axId val="421863808"/>
        <c:axId val="421865344"/>
      </c:barChart>
      <c:catAx>
        <c:axId val="421863808"/>
        <c:scaling>
          <c:orientation val="minMax"/>
        </c:scaling>
        <c:delete val="0"/>
        <c:axPos val="b"/>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mn-cs"/>
              </a:defRPr>
            </a:pPr>
          </a:p>
        </c:txPr>
        <c:crossAx val="421865344"/>
        <c:crosses val="autoZero"/>
        <c:auto val="1"/>
        <c:lblAlgn val="ctr"/>
        <c:lblOffset val="100"/>
        <c:tickLblSkip val="1"/>
        <c:noMultiLvlLbl val="0"/>
      </c:catAx>
      <c:valAx>
        <c:axId val="421865344"/>
        <c:scaling>
          <c:orientation val="minMax"/>
          <c:max val="0.700000000000001"/>
          <c:min val="0"/>
        </c:scaling>
        <c:delete val="0"/>
        <c:axPos val="l"/>
        <c:majorGridlines>
          <c:spPr>
            <a:ln w="6350" cap="flat" cmpd="sng" algn="ctr">
              <a:solidFill>
                <a:schemeClr val="bg1">
                  <a:lumMod val="85000"/>
                </a:schemeClr>
              </a:solidFill>
              <a:prstDash val="dash"/>
              <a:round/>
            </a:ln>
          </c:spPr>
        </c:majorGridlines>
        <c:numFmt formatCode="0%" sourceLinked="0"/>
        <c:majorTickMark val="in"/>
        <c:minorTickMark val="none"/>
        <c:tickLblPos val="nextTo"/>
        <c:spPr>
          <a:ln w="6350"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21863808"/>
        <c:crosses val="autoZero"/>
        <c:crossBetween val="between"/>
        <c:majorUnit val="0.1"/>
      </c:valAx>
      <c:spPr>
        <a:noFill/>
      </c:spPr>
    </c:plotArea>
    <c:plotVisOnly val="1"/>
    <c:dispBlanksAs val="gap"/>
    <c:showDLblsOverMax val="0"/>
  </c:chart>
  <c:spPr>
    <a:noFill/>
    <a:ln w="6350" cap="flat" cmpd="sng" algn="ctr">
      <a:noFill/>
      <a:prstDash val="solid"/>
      <a:round/>
    </a:ln>
  </c:spPr>
  <c:txPr>
    <a:bodyPr/>
    <a:lstStyle/>
    <a:p>
      <a:pPr>
        <a:defRPr lang="zh-CN">
          <a:latin typeface="微软雅黑" panose="020B0503020204020204" pitchFamily="34" charset="-122"/>
          <a:ea typeface="微软雅黑" panose="020B0503020204020204" pitchFamily="34" charset="-122"/>
        </a:defRPr>
      </a:pPr>
    </a:p>
  </c:txPr>
  <c:externalData r:id="rId1">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pieChart>
        <c:varyColors val="1"/>
        <c:ser>
          <c:idx val="0"/>
          <c:order val="0"/>
          <c:spPr>
            <a:ln w="12700">
              <a:solidFill>
                <a:schemeClr val="bg1"/>
              </a:solidFill>
            </a:ln>
            <a:effectLst>
              <a:outerShdw blurRad="38100" dist="25400" dir="5400000" algn="tl" rotWithShape="0">
                <a:prstClr val="black">
                  <a:alpha val="40000"/>
                </a:prstClr>
              </a:outerShdw>
            </a:effectLst>
            <a:sp3d contourW="12700"/>
          </c:spPr>
          <c:explosion val="0"/>
          <c:dPt>
            <c:idx val="0"/>
            <c:bubble3D val="0"/>
            <c:spPr>
              <a:solidFill>
                <a:schemeClr val="accent1">
                  <a:shade val="76667"/>
                </a:schemeClr>
              </a:solidFill>
              <a:ln w="12700">
                <a:solidFill>
                  <a:schemeClr val="bg1"/>
                </a:solidFill>
              </a:ln>
              <a:effectLst>
                <a:outerShdw blurRad="38100" dist="25400" dir="5400000" algn="tl" rotWithShape="0">
                  <a:prstClr val="black">
                    <a:alpha val="40000"/>
                  </a:prstClr>
                </a:outerShdw>
              </a:effectLst>
              <a:sp3d contourW="12700"/>
            </c:spPr>
          </c:dPt>
          <c:dPt>
            <c:idx val="1"/>
            <c:bubble3D val="0"/>
            <c:spPr>
              <a:solidFill>
                <a:schemeClr val="accent1">
                  <a:tint val="76667"/>
                </a:schemeClr>
              </a:solidFill>
              <a:ln w="12700">
                <a:solidFill>
                  <a:schemeClr val="bg1"/>
                </a:solidFill>
              </a:ln>
              <a:effectLst>
                <a:outerShdw blurRad="38100" dist="25400" dir="5400000" algn="tl" rotWithShape="0">
                  <a:prstClr val="black">
                    <a:alpha val="40000"/>
                  </a:prstClr>
                </a:outerShdw>
              </a:effectLst>
              <a:sp3d contourW="12700"/>
            </c:spPr>
          </c:dPt>
          <c:dLbls>
            <c:dLbl>
              <c:idx val="0"/>
              <c:layout>
                <c:manualLayout>
                  <c:x val="-0.236350986677296"/>
                  <c:y val="0.19272530862487"/>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ysClr val="windowText" lastClr="000000"/>
                        </a:solidFill>
                        <a:latin typeface="黑体" panose="02010609060101010101" charset="-122"/>
                        <a:ea typeface="黑体" panose="02010609060101010101" charset="-122"/>
                        <a:cs typeface="黑体" panose="02010609060101010101" charset="-122"/>
                        <a:sym typeface="黑体" panose="02010609060101010101" charset="-122"/>
                      </a:defRPr>
                    </a:pPr>
                    <a:r>
                      <a:rPr sz="900">
                        <a:solidFill>
                          <a:sysClr val="windowText" lastClr="000000"/>
                        </a:solidFill>
                        <a:latin typeface="黑体" panose="02010609060101010101" charset="-122"/>
                        <a:ea typeface="黑体" panose="02010609060101010101" charset="-122"/>
                        <a:cs typeface="黑体" panose="02010609060101010101" charset="-122"/>
                        <a:sym typeface="黑体" panose="02010609060101010101" charset="-122"/>
                      </a:rPr>
                      <a:t>玩过, 31.9%</a:t>
                    </a:r>
                    <a:endParaRPr sz="900">
                      <a:solidFill>
                        <a:sysClr val="windowText" lastClr="000000"/>
                      </a:solidFill>
                      <a:latin typeface="黑体" panose="02010609060101010101" charset="-122"/>
                      <a:ea typeface="黑体" panose="02010609060101010101" charset="-122"/>
                      <a:cs typeface="黑体" panose="02010609060101010101" charset="-122"/>
                      <a:sym typeface="黑体" panose="02010609060101010101" charset="-122"/>
                    </a:endParaRPr>
                  </a:p>
                </c:rich>
              </c:tx>
              <c:dLblPos val="bestFit"/>
              <c:showLegendKey val="0"/>
              <c:showVal val="1"/>
              <c:showCatName val="1"/>
              <c:showSerName val="0"/>
              <c:showPercent val="0"/>
              <c:showBubbleSize val="0"/>
              <c:extLst>
                <c:ext xmlns:c15="http://schemas.microsoft.com/office/drawing/2012/chart" uri="{CE6537A1-D6FC-4f65-9D91-7224C49458BB}">
                  <c15:layout>
                    <c:manualLayout>
                      <c:w val="0.276084618142703"/>
                      <c:h val="0.146997311024798"/>
                    </c:manualLayout>
                  </c15:layout>
                </c:ext>
              </c:extLst>
            </c:dLbl>
            <c:dLbl>
              <c:idx val="1"/>
              <c:layout>
                <c:manualLayout>
                  <c:x val="0.253561483437345"/>
                  <c:y val="-0.188841207040777"/>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ysClr val="windowText" lastClr="000000"/>
                        </a:solidFill>
                        <a:latin typeface="黑体" panose="02010609060101010101" charset="-122"/>
                        <a:ea typeface="黑体" panose="02010609060101010101" charset="-122"/>
                        <a:cs typeface="黑体" panose="02010609060101010101" charset="-122"/>
                        <a:sym typeface="黑体" panose="02010609060101010101" charset="-122"/>
                      </a:defRPr>
                    </a:pPr>
                    <a:r>
                      <a:rPr sz="900">
                        <a:solidFill>
                          <a:sysClr val="windowText" lastClr="000000"/>
                        </a:solidFill>
                        <a:latin typeface="黑体" panose="02010609060101010101" charset="-122"/>
                        <a:ea typeface="黑体" panose="02010609060101010101" charset="-122"/>
                        <a:cs typeface="黑体" panose="02010609060101010101" charset="-122"/>
                        <a:sym typeface="黑体" panose="02010609060101010101" charset="-122"/>
                      </a:rPr>
                      <a:t>没玩过, 68.1%</a:t>
                    </a:r>
                    <a:endParaRPr sz="900">
                      <a:solidFill>
                        <a:sysClr val="windowText" lastClr="000000"/>
                      </a:solidFill>
                      <a:latin typeface="黑体" panose="02010609060101010101" charset="-122"/>
                      <a:ea typeface="黑体" panose="02010609060101010101" charset="-122"/>
                      <a:cs typeface="黑体" panose="02010609060101010101" charset="-122"/>
                      <a:sym typeface="黑体" panose="02010609060101010101" charset="-122"/>
                    </a:endParaRPr>
                  </a:p>
                </c:rich>
              </c:tx>
              <c:dLblPos val="bestFit"/>
              <c:showLegendKey val="0"/>
              <c:showVal val="1"/>
              <c:showCatName val="1"/>
              <c:showSerName val="0"/>
              <c:showPercent val="0"/>
              <c:showBubbleSize val="0"/>
              <c:extLst>
                <c:ext xmlns:c15="http://schemas.microsoft.com/office/drawing/2012/chart" uri="{CE6537A1-D6FC-4f65-9D91-7224C49458BB}">
                  <c15:layout>
                    <c:manualLayout>
                      <c:w val="0.247938329150233"/>
                      <c:h val="0.146997311024798"/>
                    </c:manualLayout>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黑体" panose="02010609060101010101" charset="-122"/>
                    <a:sym typeface="黑体" panose="02010609060101010101" charset="-122"/>
                  </a:defRPr>
                </a:pPr>
              </a:p>
            </c:txPr>
            <c:dLblPos val="inEnd"/>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[工作簿1]Sheet1!$A$1:$A$2</c:f>
              <c:strCache>
                <c:ptCount val="2"/>
                <c:pt idx="0">
                  <c:v>是</c:v>
                </c:pt>
                <c:pt idx="1">
                  <c:v>否</c:v>
                </c:pt>
              </c:strCache>
            </c:strRef>
          </c:cat>
          <c:val>
            <c:numRef>
              <c:f>[工作簿1]Sheet1!$B$1:$B$2</c:f>
              <c:numCache>
                <c:formatCode>0.0%</c:formatCode>
                <c:ptCount val="2"/>
                <c:pt idx="0">
                  <c:v>0.319</c:v>
                </c:pt>
                <c:pt idx="1">
                  <c:v>0.681</c:v>
                </c:pt>
              </c:numCache>
            </c:numRef>
          </c:val>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1"/>
    </mc:Choice>
    <mc:Fallback>
      <c:style val="11"/>
    </mc:Fallback>
  </mc:AlternateContent>
  <c:chart>
    <c:autoTitleDeleted val="1"/>
    <c:plotArea>
      <c:layout>
        <c:manualLayout>
          <c:layoutTarget val="inner"/>
          <c:xMode val="edge"/>
          <c:yMode val="edge"/>
          <c:x val="0.140567748180414"/>
          <c:y val="0.108120871508162"/>
          <c:w val="0.741607440913868"/>
          <c:h val="0.776705402531003"/>
        </c:manualLayout>
      </c:layout>
      <c:barChart>
        <c:barDir val="col"/>
        <c:grouping val="clustered"/>
        <c:varyColors val="0"/>
        <c:ser>
          <c:idx val="1"/>
          <c:order val="0"/>
          <c:tx>
            <c:strRef>
              <c:f>Sheet1!$B$1</c:f>
              <c:strCache>
                <c:ptCount val="1"/>
                <c:pt idx="0">
                  <c:v>2021年</c:v>
                </c:pt>
              </c:strCache>
            </c:strRef>
          </c:tx>
          <c:spPr>
            <a:solidFill>
              <a:srgbClr val="5B9BD5"/>
            </a:solidFill>
            <a:ln w="6350" cap="flat" cmpd="sng" algn="ctr">
              <a:solidFill>
                <a:schemeClr val="bg1">
                  <a:lumMod val="95000"/>
                </a:schemeClr>
              </a:solidFill>
              <a:prstDash val="solid"/>
              <a:round/>
            </a:ln>
            <a:effectLst>
              <a:outerShdw blurRad="38100" dist="12700" dir="5400000" algn="tl" rotWithShape="0">
                <a:prstClr val="black">
                  <a:alpha val="40000"/>
                </a:prstClr>
              </a:outerShdw>
            </a:effectLst>
          </c:spPr>
          <c:invertIfNegative val="0"/>
          <c:dLbls>
            <c:dLbl>
              <c:idx val="0"/>
              <c:layout>
                <c:manualLayout>
                  <c:x val="-0.000534868625292806"/>
                  <c:y val="-4.6295761483715e-17"/>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518567024963665"/>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535326593303628"/>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4"/>
                <c:pt idx="0">
                  <c:v>小学</c:v>
                </c:pt>
                <c:pt idx="1">
                  <c:v>初中</c:v>
                </c:pt>
                <c:pt idx="2">
                  <c:v>高中</c:v>
                </c:pt>
                <c:pt idx="3">
                  <c:v>中等职业教育</c:v>
                </c:pt>
              </c:strCache>
            </c:strRef>
          </c:cat>
          <c:val>
            <c:numRef>
              <c:f>Sheet1!$B$2:$B$5</c:f>
              <c:numCache>
                <c:formatCode>0.0%</c:formatCode>
                <c:ptCount val="4"/>
                <c:pt idx="0">
                  <c:v>0.339627509733237</c:v>
                </c:pt>
                <c:pt idx="1">
                  <c:v>0.617966517581691</c:v>
                </c:pt>
                <c:pt idx="2">
                  <c:v>0.651019031423309</c:v>
                </c:pt>
                <c:pt idx="3">
                  <c:v>0.6474455516762</c:v>
                </c:pt>
              </c:numCache>
            </c:numRef>
          </c:val>
        </c:ser>
        <c:dLbls>
          <c:showLegendKey val="0"/>
          <c:showVal val="1"/>
          <c:showCatName val="0"/>
          <c:showSerName val="0"/>
          <c:showPercent val="0"/>
          <c:showBubbleSize val="0"/>
        </c:dLbls>
        <c:gapWidth val="100"/>
        <c:axId val="421863808"/>
        <c:axId val="421865344"/>
      </c:barChart>
      <c:catAx>
        <c:axId val="421863808"/>
        <c:scaling>
          <c:orientation val="minMax"/>
        </c:scaling>
        <c:delete val="0"/>
        <c:axPos val="b"/>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mn-cs"/>
              </a:defRPr>
            </a:pPr>
          </a:p>
        </c:txPr>
        <c:crossAx val="421865344"/>
        <c:crosses val="autoZero"/>
        <c:auto val="1"/>
        <c:lblAlgn val="ctr"/>
        <c:lblOffset val="100"/>
        <c:tickLblSkip val="1"/>
        <c:noMultiLvlLbl val="0"/>
      </c:catAx>
      <c:valAx>
        <c:axId val="421865344"/>
        <c:scaling>
          <c:orientation val="minMax"/>
          <c:max val="0.700000000000001"/>
          <c:min val="0"/>
        </c:scaling>
        <c:delete val="0"/>
        <c:axPos val="l"/>
        <c:majorGridlines>
          <c:spPr>
            <a:ln w="6350" cap="flat" cmpd="sng" algn="ctr">
              <a:solidFill>
                <a:schemeClr val="bg1">
                  <a:lumMod val="85000"/>
                </a:schemeClr>
              </a:solidFill>
              <a:prstDash val="dash"/>
              <a:round/>
            </a:ln>
          </c:spPr>
        </c:majorGridlines>
        <c:numFmt formatCode="0%" sourceLinked="0"/>
        <c:majorTickMark val="in"/>
        <c:minorTickMark val="none"/>
        <c:tickLblPos val="nextTo"/>
        <c:spPr>
          <a:ln w="6350"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21863808"/>
        <c:crosses val="autoZero"/>
        <c:crossBetween val="between"/>
        <c:majorUnit val="0.1"/>
      </c:valAx>
      <c:spPr>
        <a:noFill/>
      </c:spPr>
    </c:plotArea>
    <c:plotVisOnly val="1"/>
    <c:dispBlanksAs val="gap"/>
    <c:showDLblsOverMax val="0"/>
  </c:chart>
  <c:spPr>
    <a:noFill/>
    <a:ln w="6350" cap="flat" cmpd="sng" algn="ctr">
      <a:noFill/>
      <a:prstDash val="solid"/>
      <a:round/>
    </a:ln>
  </c:spPr>
  <c:txPr>
    <a:bodyPr/>
    <a:lstStyle/>
    <a:p>
      <a:pPr>
        <a:defRPr lang="zh-CN">
          <a:latin typeface="微软雅黑" panose="020B0503020204020204" pitchFamily="34" charset="-122"/>
          <a:ea typeface="微软雅黑" panose="020B0503020204020204" pitchFamily="34" charset="-122"/>
        </a:defRPr>
      </a:pPr>
    </a:p>
  </c:txPr>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67076331818999"/>
          <c:y val="0.0819156495072467"/>
          <c:w val="0.698148394310691"/>
          <c:h val="0.872973451280683"/>
        </c:manualLayout>
      </c:layout>
      <c:barChart>
        <c:barDir val="bar"/>
        <c:grouping val="clustered"/>
        <c:varyColors val="0"/>
        <c:ser>
          <c:idx val="0"/>
          <c:order val="0"/>
          <c:tx>
            <c:strRef>
              <c:f>Sheet1!$B$1</c:f>
              <c:strCache>
                <c:ptCount val="1"/>
                <c:pt idx="0">
                  <c:v>2020年</c:v>
                </c:pt>
              </c:strCache>
            </c:strRef>
          </c:tx>
          <c:spPr>
            <a:solidFill>
              <a:srgbClr val="5B9BD5"/>
            </a:solidFill>
          </c:spPr>
          <c:invertIfNegative val="0"/>
          <c:dLbls>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Sheet1!$A$2:$A$8</c:f>
              <c:strCache>
                <c:ptCount val="7"/>
                <c:pt idx="0">
                  <c:v>搞笑类，如搞笑节目片段</c:v>
                </c:pt>
                <c:pt idx="1">
                  <c:v>休闲类，如旅游、美食、时尚</c:v>
                </c:pt>
                <c:pt idx="2">
                  <c:v>兴趣类，如琴棋书画、运动舞蹈、历史地理等题材</c:v>
                </c:pt>
                <c:pt idx="3">
                  <c:v>学习类，如考试辅导、课堂录像片段</c:v>
                </c:pt>
                <c:pt idx="4">
                  <c:v>游戏类，如游戏主播的视频剪辑</c:v>
                </c:pt>
                <c:pt idx="5">
                  <c:v>时政类，如各类新闻报道、时事评论</c:v>
                </c:pt>
                <c:pt idx="6">
                  <c:v>综艺类，如综艺节目、明星采访</c:v>
                </c:pt>
              </c:strCache>
            </c:strRef>
          </c:cat>
          <c:val>
            <c:numRef>
              <c:f>Sheet1!$B$2:$B$8</c:f>
              <c:numCache>
                <c:formatCode>0.0%</c:formatCode>
                <c:ptCount val="7"/>
                <c:pt idx="0">
                  <c:v>0.663590265796138</c:v>
                </c:pt>
                <c:pt idx="1">
                  <c:v>0.496807944170066</c:v>
                </c:pt>
                <c:pt idx="2">
                  <c:v>0.465978209104977</c:v>
                </c:pt>
                <c:pt idx="3">
                  <c:v>0.395910997253214</c:v>
                </c:pt>
                <c:pt idx="4">
                  <c:v>0.382609380032695</c:v>
                </c:pt>
                <c:pt idx="5">
                  <c:v>0.305433553436457</c:v>
                </c:pt>
                <c:pt idx="6">
                  <c:v>0.267678725718596</c:v>
                </c:pt>
              </c:numCache>
            </c:numRef>
          </c:val>
        </c:ser>
        <c:dLbls>
          <c:showLegendKey val="0"/>
          <c:showVal val="0"/>
          <c:showCatName val="0"/>
          <c:showSerName val="0"/>
          <c:showPercent val="0"/>
          <c:showBubbleSize val="0"/>
        </c:dLbls>
        <c:gapWidth val="100"/>
        <c:overlap val="-20"/>
        <c:axId val="412494848"/>
        <c:axId val="412775168"/>
      </c:barChart>
      <c:catAx>
        <c:axId val="412494848"/>
        <c:scaling>
          <c:orientation val="maxMin"/>
        </c:scaling>
        <c:delete val="0"/>
        <c:axPos val="l"/>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12775168"/>
        <c:crosses val="autoZero"/>
        <c:auto val="1"/>
        <c:lblAlgn val="ctr"/>
        <c:lblOffset val="100"/>
        <c:noMultiLvlLbl val="0"/>
      </c:catAx>
      <c:valAx>
        <c:axId val="412775168"/>
        <c:scaling>
          <c:orientation val="minMax"/>
        </c:scaling>
        <c:delete val="0"/>
        <c:axPos val="t"/>
        <c:majorGridlines>
          <c:spPr>
            <a:ln w="9525" cap="flat" cmpd="sng" algn="ctr">
              <a:solidFill>
                <a:sysClr val="window" lastClr="FFFFFF">
                  <a:lumMod val="85000"/>
                </a:sysClr>
              </a:solidFill>
              <a:prstDash val="dash"/>
              <a:round/>
            </a:ln>
          </c:spPr>
        </c:majorGridlines>
        <c:numFmt formatCode="0%" sourceLinked="0"/>
        <c:majorTickMark val="in"/>
        <c:minorTickMark val="none"/>
        <c:tickLblPos val="nextTo"/>
        <c:spPr>
          <a:ln w="9525"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12494848"/>
        <c:crosses val="autoZero"/>
        <c:crossBetween val="between"/>
        <c:majorUnit val="0.1"/>
      </c:valAx>
      <c:spPr>
        <a:noFill/>
        <a:ln w="12700">
          <a:noFill/>
        </a:ln>
      </c:spPr>
    </c:plotArea>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55358357638264"/>
          <c:y val="0.095177526945796"/>
          <c:w val="0.807448521908649"/>
          <c:h val="0.801244453186922"/>
        </c:manualLayout>
      </c:layout>
      <c:barChart>
        <c:barDir val="bar"/>
        <c:grouping val="clustered"/>
        <c:varyColors val="0"/>
        <c:ser>
          <c:idx val="0"/>
          <c:order val="0"/>
          <c:tx>
            <c:strRef>
              <c:f>Sheet1!$B$1</c:f>
              <c:strCache>
                <c:ptCount val="1"/>
                <c:pt idx="0">
                  <c:v>工作日</c:v>
                </c:pt>
              </c:strCache>
            </c:strRef>
          </c:tx>
          <c:spPr>
            <a:solidFill>
              <a:srgbClr val="5B9BD5"/>
            </a:solidFill>
          </c:spPr>
          <c:invertIfNegative val="0"/>
          <c:dLbls>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Sheet1!$A$2:$A$6</c:f>
              <c:strCache>
                <c:ptCount val="5"/>
                <c:pt idx="0">
                  <c:v>半小时以内</c:v>
                </c:pt>
                <c:pt idx="1">
                  <c:v>半小时-1小时</c:v>
                </c:pt>
                <c:pt idx="2">
                  <c:v>1-2小时</c:v>
                </c:pt>
                <c:pt idx="3">
                  <c:v>2-3小时</c:v>
                </c:pt>
                <c:pt idx="4">
                  <c:v>3小时以上</c:v>
                </c:pt>
              </c:strCache>
            </c:strRef>
          </c:cat>
          <c:val>
            <c:numRef>
              <c:f>Sheet1!$B$2:$B$6</c:f>
              <c:numCache>
                <c:formatCode>0.0%</c:formatCode>
                <c:ptCount val="5"/>
                <c:pt idx="0">
                  <c:v>0.573561999582809</c:v>
                </c:pt>
                <c:pt idx="1">
                  <c:v>0.222217173941832</c:v>
                </c:pt>
                <c:pt idx="2">
                  <c:v>0.105828949612787</c:v>
                </c:pt>
                <c:pt idx="3">
                  <c:v>0.0490190982996016</c:v>
                </c:pt>
                <c:pt idx="4">
                  <c:v>0.0493727785629701</c:v>
                </c:pt>
              </c:numCache>
            </c:numRef>
          </c:val>
        </c:ser>
        <c:ser>
          <c:idx val="1"/>
          <c:order val="1"/>
          <c:tx>
            <c:strRef>
              <c:f>Sheet1!$C$1</c:f>
              <c:strCache>
                <c:ptCount val="1"/>
                <c:pt idx="0">
                  <c:v>节假日</c:v>
                </c:pt>
              </c:strCache>
            </c:strRef>
          </c:tx>
          <c:spPr>
            <a:solidFill>
              <a:srgbClr val="FF0000">
                <a:alpha val="70000"/>
              </a:srgbClr>
            </a:solidFill>
          </c:spPr>
          <c:invertIfNegative val="0"/>
          <c:dLbls>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Sheet1!$A$2:$A$6</c:f>
              <c:strCache>
                <c:ptCount val="5"/>
                <c:pt idx="0">
                  <c:v>半小时以内</c:v>
                </c:pt>
                <c:pt idx="1">
                  <c:v>半小时-1小时</c:v>
                </c:pt>
                <c:pt idx="2">
                  <c:v>1-2小时</c:v>
                </c:pt>
                <c:pt idx="3">
                  <c:v>2-3小时</c:v>
                </c:pt>
                <c:pt idx="4">
                  <c:v>3小时以上</c:v>
                </c:pt>
              </c:strCache>
            </c:strRef>
          </c:cat>
          <c:val>
            <c:numRef>
              <c:f>Sheet1!$C$2:$C$6</c:f>
              <c:numCache>
                <c:formatCode>0.0%</c:formatCode>
                <c:ptCount val="5"/>
                <c:pt idx="0">
                  <c:v>0.317622602960299</c:v>
                </c:pt>
                <c:pt idx="1">
                  <c:v>0.265434467833956</c:v>
                </c:pt>
                <c:pt idx="2">
                  <c:v>0.18730850614642</c:v>
                </c:pt>
                <c:pt idx="3">
                  <c:v>0.106439263433564</c:v>
                </c:pt>
                <c:pt idx="4">
                  <c:v>0.123521703389477</c:v>
                </c:pt>
              </c:numCache>
            </c:numRef>
          </c:val>
        </c:ser>
        <c:dLbls>
          <c:showLegendKey val="0"/>
          <c:showVal val="0"/>
          <c:showCatName val="0"/>
          <c:showSerName val="0"/>
          <c:showPercent val="0"/>
          <c:showBubbleSize val="0"/>
        </c:dLbls>
        <c:gapWidth val="100"/>
        <c:overlap val="-20"/>
        <c:axId val="412494848"/>
        <c:axId val="412775168"/>
      </c:barChart>
      <c:catAx>
        <c:axId val="412494848"/>
        <c:scaling>
          <c:orientation val="maxMin"/>
        </c:scaling>
        <c:delete val="0"/>
        <c:axPos val="l"/>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12775168"/>
        <c:crosses val="autoZero"/>
        <c:auto val="1"/>
        <c:lblAlgn val="ctr"/>
        <c:lblOffset val="100"/>
        <c:noMultiLvlLbl val="0"/>
      </c:catAx>
      <c:valAx>
        <c:axId val="412775168"/>
        <c:scaling>
          <c:orientation val="minMax"/>
        </c:scaling>
        <c:delete val="0"/>
        <c:axPos val="t"/>
        <c:majorGridlines>
          <c:spPr>
            <a:ln w="9525" cap="flat" cmpd="sng" algn="ctr">
              <a:solidFill>
                <a:sysClr val="window" lastClr="FFFFFF">
                  <a:lumMod val="85000"/>
                </a:sysClr>
              </a:solidFill>
              <a:prstDash val="dash"/>
              <a:round/>
            </a:ln>
          </c:spPr>
        </c:majorGridlines>
        <c:numFmt formatCode="0%" sourceLinked="0"/>
        <c:majorTickMark val="in"/>
        <c:minorTickMark val="none"/>
        <c:tickLblPos val="nextTo"/>
        <c:spPr>
          <a:ln w="9525"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12494848"/>
        <c:crosses val="autoZero"/>
        <c:crossBetween val="between"/>
        <c:majorUnit val="0.1"/>
      </c:valAx>
      <c:spPr>
        <a:noFill/>
        <a:ln w="12700">
          <a:noFill/>
        </a:ln>
      </c:spPr>
    </c:plotArea>
    <c:legend>
      <c:legendPos val="b"/>
      <c:layout>
        <c:manualLayout>
          <c:xMode val="edge"/>
          <c:yMode val="edge"/>
          <c:x val="0.255648882864497"/>
          <c:y val="0.92264488246831"/>
          <c:w val="0.485700099304883"/>
          <c:h val="0.0609207394865645"/>
        </c:manualLayout>
      </c:layout>
      <c:overlay val="0"/>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legend>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28762728716361"/>
          <c:y val="0.0909645386169753"/>
          <c:w val="0.833736976773774"/>
          <c:h val="0.813825069688356"/>
        </c:manualLayout>
      </c:layout>
      <c:barChart>
        <c:barDir val="bar"/>
        <c:grouping val="clustered"/>
        <c:varyColors val="0"/>
        <c:ser>
          <c:idx val="0"/>
          <c:order val="0"/>
          <c:tx>
            <c:strRef>
              <c:f>Sheet1!$B$1</c:f>
              <c:strCache>
                <c:ptCount val="1"/>
                <c:pt idx="0">
                  <c:v>2020年</c:v>
                </c:pt>
              </c:strCache>
            </c:strRef>
          </c:tx>
          <c:spPr>
            <a:solidFill>
              <a:srgbClr val="5B9BD5"/>
            </a:solidFill>
          </c:spPr>
          <c:invertIfNegative val="0"/>
          <c:dLbls>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Sheet1!$A$2:$A$6</c:f>
              <c:strCache>
                <c:ptCount val="5"/>
                <c:pt idx="0">
                  <c:v>聊天</c:v>
                </c:pt>
                <c:pt idx="1">
                  <c:v>使用社
交网站</c:v>
                </c:pt>
                <c:pt idx="2">
                  <c:v>逛微博</c:v>
                </c:pt>
                <c:pt idx="3">
                  <c:v>逛论坛</c:v>
                </c:pt>
                <c:pt idx="4">
                  <c:v>粉丝应援</c:v>
                </c:pt>
              </c:strCache>
            </c:strRef>
          </c:cat>
          <c:val>
            <c:numRef>
              <c:f>Sheet1!$B$2:$B$6</c:f>
              <c:numCache>
                <c:formatCode>0.0%</c:formatCode>
                <c:ptCount val="5"/>
                <c:pt idx="0">
                  <c:v>0.550792174791125</c:v>
                </c:pt>
                <c:pt idx="1">
                  <c:v>0.309395359866044</c:v>
                </c:pt>
                <c:pt idx="2">
                  <c:v>0.113408540124759</c:v>
                </c:pt>
                <c:pt idx="3">
                  <c:v>0.104080247629328</c:v>
                </c:pt>
                <c:pt idx="4">
                  <c:v>0.0798710574371994</c:v>
                </c:pt>
              </c:numCache>
            </c:numRef>
          </c:val>
        </c:ser>
        <c:ser>
          <c:idx val="1"/>
          <c:order val="1"/>
          <c:tx>
            <c:strRef>
              <c:f>Sheet1!$C$1</c:f>
              <c:strCache>
                <c:ptCount val="1"/>
                <c:pt idx="0">
                  <c:v>2021年</c:v>
                </c:pt>
              </c:strCache>
            </c:strRef>
          </c:tx>
          <c:spPr>
            <a:solidFill>
              <a:srgbClr val="FF0000">
                <a:alpha val="70000"/>
              </a:srgbClr>
            </a:solidFill>
          </c:spPr>
          <c:invertIfNegative val="0"/>
          <c:dLbls>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Sheet1!$A$2:$A$6</c:f>
              <c:strCache>
                <c:ptCount val="5"/>
                <c:pt idx="0">
                  <c:v>聊天</c:v>
                </c:pt>
                <c:pt idx="1">
                  <c:v>使用社
交网站</c:v>
                </c:pt>
                <c:pt idx="2">
                  <c:v>逛微博</c:v>
                </c:pt>
                <c:pt idx="3">
                  <c:v>逛论坛</c:v>
                </c:pt>
                <c:pt idx="4">
                  <c:v>粉丝应援</c:v>
                </c:pt>
              </c:strCache>
            </c:strRef>
          </c:cat>
          <c:val>
            <c:numRef>
              <c:f>Sheet1!$C$2:$C$6</c:f>
              <c:numCache>
                <c:formatCode>0.0%</c:formatCode>
                <c:ptCount val="5"/>
                <c:pt idx="0">
                  <c:v>0.534419465295833</c:v>
                </c:pt>
                <c:pt idx="1">
                  <c:v>0.344921163384631</c:v>
                </c:pt>
                <c:pt idx="2">
                  <c:v>0.117272304732163</c:v>
                </c:pt>
                <c:pt idx="3">
                  <c:v>0.111622968771</c:v>
                </c:pt>
                <c:pt idx="4">
                  <c:v>0.0537821589141193</c:v>
                </c:pt>
              </c:numCache>
            </c:numRef>
          </c:val>
        </c:ser>
        <c:dLbls>
          <c:showLegendKey val="0"/>
          <c:showVal val="0"/>
          <c:showCatName val="0"/>
          <c:showSerName val="0"/>
          <c:showPercent val="0"/>
          <c:showBubbleSize val="0"/>
        </c:dLbls>
        <c:gapWidth val="100"/>
        <c:overlap val="-20"/>
        <c:axId val="412637824"/>
        <c:axId val="412844416"/>
      </c:barChart>
      <c:catAx>
        <c:axId val="412637824"/>
        <c:scaling>
          <c:orientation val="maxMin"/>
        </c:scaling>
        <c:delete val="0"/>
        <c:axPos val="l"/>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12844416"/>
        <c:crosses val="autoZero"/>
        <c:auto val="1"/>
        <c:lblAlgn val="ctr"/>
        <c:lblOffset val="100"/>
        <c:noMultiLvlLbl val="0"/>
      </c:catAx>
      <c:valAx>
        <c:axId val="412844416"/>
        <c:scaling>
          <c:orientation val="minMax"/>
        </c:scaling>
        <c:delete val="0"/>
        <c:axPos val="t"/>
        <c:majorGridlines>
          <c:spPr>
            <a:ln w="9525" cap="flat" cmpd="sng" algn="ctr">
              <a:solidFill>
                <a:sysClr val="window" lastClr="FFFFFF">
                  <a:lumMod val="85000"/>
                </a:sysClr>
              </a:solidFill>
              <a:prstDash val="dash"/>
              <a:round/>
            </a:ln>
          </c:spPr>
        </c:majorGridlines>
        <c:numFmt formatCode="0%" sourceLinked="0"/>
        <c:majorTickMark val="in"/>
        <c:minorTickMark val="none"/>
        <c:tickLblPos val="nextTo"/>
        <c:spPr>
          <a:ln w="9525"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12637824"/>
        <c:crosses val="autoZero"/>
        <c:crossBetween val="between"/>
        <c:majorUnit val="0.1"/>
      </c:valAx>
      <c:spPr>
        <a:noFill/>
        <a:ln w="12700">
          <a:noFill/>
        </a:ln>
      </c:spPr>
    </c:plotArea>
    <c:legend>
      <c:legendPos val="b"/>
      <c:layout>
        <c:manualLayout>
          <c:xMode val="edge"/>
          <c:yMode val="edge"/>
          <c:x val="0.216144229727119"/>
          <c:y val="0.916828585249527"/>
          <c:w val="0.565792938360263"/>
          <c:h val="0.0612697760427368"/>
        </c:manualLayout>
      </c:layout>
      <c:overlay val="0"/>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legend>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703814243544066"/>
          <c:y val="0.0809185383192415"/>
          <c:w val="0.902793320775125"/>
          <c:h val="0.756495530309634"/>
        </c:manualLayout>
      </c:layout>
      <c:barChart>
        <c:barDir val="col"/>
        <c:grouping val="clustered"/>
        <c:varyColors val="0"/>
        <c:ser>
          <c:idx val="0"/>
          <c:order val="0"/>
          <c:tx>
            <c:strRef>
              <c:f>Sheet1!$B$1</c:f>
              <c:strCache>
                <c:ptCount val="1"/>
                <c:pt idx="0">
                  <c:v>2020年</c:v>
                </c:pt>
              </c:strCache>
            </c:strRef>
          </c:tx>
          <c:spPr>
            <a:solidFill>
              <a:srgbClr val="5B9BD5"/>
            </a:solidFill>
            <a:ln w="12700" cap="flat" cmpd="sng" algn="ctr">
              <a:solidFill>
                <a:schemeClr val="lt1">
                  <a:shade val="95000"/>
                  <a:satMod val="105000"/>
                </a:schemeClr>
              </a:solidFill>
              <a:prstDash val="solid"/>
              <a:round/>
            </a:ln>
          </c:spPr>
          <c:invertIfNegative val="0"/>
          <c:dLbls>
            <c:dLbl>
              <c:idx val="0"/>
              <c:layout>
                <c:manualLayout>
                  <c:x val="-0.00455957095883938"/>
                  <c:y val="0.0049196617950430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763040828265385"/>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291553743471826"/>
                  <c:y val="0.0098400984009840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
                  <c:y val="0.0049200492004920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4"/>
                <c:pt idx="0">
                  <c:v>小学</c:v>
                </c:pt>
                <c:pt idx="1">
                  <c:v>初中</c:v>
                </c:pt>
                <c:pt idx="2">
                  <c:v>高中</c:v>
                </c:pt>
                <c:pt idx="3">
                  <c:v>中等职业教育</c:v>
                </c:pt>
              </c:strCache>
            </c:strRef>
          </c:cat>
          <c:val>
            <c:numRef>
              <c:f>Sheet1!$B$2:$B$5</c:f>
              <c:numCache>
                <c:formatCode>0.0%</c:formatCode>
                <c:ptCount val="4"/>
                <c:pt idx="0">
                  <c:v>0.056</c:v>
                </c:pt>
                <c:pt idx="1">
                  <c:v>0.11</c:v>
                </c:pt>
                <c:pt idx="2">
                  <c:v>0.103</c:v>
                </c:pt>
                <c:pt idx="3">
                  <c:v>0.102</c:v>
                </c:pt>
              </c:numCache>
            </c:numRef>
          </c:val>
        </c:ser>
        <c:ser>
          <c:idx val="1"/>
          <c:order val="1"/>
          <c:tx>
            <c:strRef>
              <c:f>Sheet1!$C$1</c:f>
              <c:strCache>
                <c:ptCount val="1"/>
                <c:pt idx="0">
                  <c:v>2021年</c:v>
                </c:pt>
              </c:strCache>
            </c:strRef>
          </c:tx>
          <c:spPr>
            <a:solidFill>
              <a:srgbClr val="FF0000">
                <a:alpha val="70000"/>
              </a:srgbClr>
            </a:solidFill>
            <a:ln w="12700" cap="flat" cmpd="sng" algn="ctr">
              <a:solidFill>
                <a:schemeClr val="lt1">
                  <a:shade val="95000"/>
                  <a:satMod val="105000"/>
                </a:schemeClr>
              </a:solidFill>
              <a:prstDash val="solid"/>
              <a:round/>
            </a:ln>
          </c:spPr>
          <c:invertIfNegative val="0"/>
          <c:dLbls>
            <c:dLbl>
              <c:idx val="0"/>
              <c:layout>
                <c:manualLayout>
                  <c:x val="0.00142667905196733"/>
                  <c:y val="0.019680358426534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369215163219884"/>
                  <c:y val="0.024600246002459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353667839546554"/>
                  <c:y val="0.0049200492004919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290580671438273"/>
                  <c:y val="0.019680358426534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0.0%" sourceLinked="0"/>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4"/>
                <c:pt idx="0">
                  <c:v>小学</c:v>
                </c:pt>
                <c:pt idx="1">
                  <c:v>初中</c:v>
                </c:pt>
                <c:pt idx="2">
                  <c:v>高中</c:v>
                </c:pt>
                <c:pt idx="3">
                  <c:v>中等职业教育</c:v>
                </c:pt>
              </c:strCache>
            </c:strRef>
          </c:cat>
          <c:val>
            <c:numRef>
              <c:f>Sheet1!$C$2:$C$5</c:f>
              <c:numCache>
                <c:formatCode>0.0%</c:formatCode>
                <c:ptCount val="4"/>
                <c:pt idx="0">
                  <c:v>0.0271968688773637</c:v>
                </c:pt>
                <c:pt idx="1">
                  <c:v>0.0907054627144635</c:v>
                </c:pt>
                <c:pt idx="2">
                  <c:v>0.0810483702675043</c:v>
                </c:pt>
                <c:pt idx="3">
                  <c:v>0.0692662750671475</c:v>
                </c:pt>
              </c:numCache>
            </c:numRef>
          </c:val>
        </c:ser>
        <c:dLbls>
          <c:showLegendKey val="0"/>
          <c:showVal val="0"/>
          <c:showCatName val="0"/>
          <c:showSerName val="0"/>
          <c:showPercent val="0"/>
          <c:showBubbleSize val="0"/>
        </c:dLbls>
        <c:gapWidth val="150"/>
        <c:overlap val="-20"/>
        <c:axId val="400867712"/>
        <c:axId val="400869248"/>
      </c:barChart>
      <c:catAx>
        <c:axId val="400867712"/>
        <c:scaling>
          <c:orientation val="minMax"/>
        </c:scaling>
        <c:delete val="0"/>
        <c:axPos val="b"/>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00869248"/>
        <c:crosses val="autoZero"/>
        <c:auto val="1"/>
        <c:lblAlgn val="ctr"/>
        <c:lblOffset val="100"/>
        <c:noMultiLvlLbl val="0"/>
      </c:catAx>
      <c:valAx>
        <c:axId val="400869248"/>
        <c:scaling>
          <c:orientation val="minMax"/>
        </c:scaling>
        <c:delete val="0"/>
        <c:axPos val="l"/>
        <c:majorGridlines>
          <c:spPr>
            <a:ln w="9525" cap="flat" cmpd="sng" algn="ctr">
              <a:solidFill>
                <a:sysClr val="window" lastClr="FFFFFF">
                  <a:lumMod val="85000"/>
                </a:sysClr>
              </a:solidFill>
              <a:prstDash val="dash"/>
              <a:round/>
            </a:ln>
          </c:spPr>
        </c:majorGridlines>
        <c:numFmt formatCode="0%" sourceLinked="0"/>
        <c:majorTickMark val="in"/>
        <c:minorTickMark val="none"/>
        <c:tickLblPos val="nextTo"/>
        <c:spPr>
          <a:ln w="9525"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00867712"/>
        <c:crosses val="autoZero"/>
        <c:crossBetween val="between"/>
      </c:valAx>
      <c:spPr>
        <a:noFill/>
        <a:ln w="12700">
          <a:noFill/>
        </a:ln>
      </c:spPr>
    </c:plotArea>
    <c:legend>
      <c:legendPos val="b"/>
      <c:layout>
        <c:manualLayout>
          <c:xMode val="edge"/>
          <c:yMode val="edge"/>
          <c:x val="0.242990761936141"/>
          <c:y val="0.922995806336016"/>
          <c:w val="0.515705216671296"/>
          <c:h val="0.0733579335793359"/>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Arial" panose="020B0604020202020204" pitchFamily="2" charset="0"/>
            </a:defRPr>
          </a:pPr>
        </a:p>
      </c:txPr>
    </c:legend>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3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326659251382058"/>
          <c:y val="0.0651427545055694"/>
          <c:w val="0.638565474747633"/>
          <c:h val="0.903164662283702"/>
        </c:manualLayout>
      </c:layout>
      <c:barChart>
        <c:barDir val="bar"/>
        <c:grouping val="clustered"/>
        <c:varyColors val="0"/>
        <c:ser>
          <c:idx val="0"/>
          <c:order val="0"/>
          <c:tx>
            <c:strRef>
              <c:f>Sheet1!$B$1</c:f>
              <c:strCache>
                <c:ptCount val="1"/>
                <c:pt idx="0">
                  <c:v>2021年</c:v>
                </c:pt>
              </c:strCache>
            </c:strRef>
          </c:tx>
          <c:spPr>
            <a:solidFill>
              <a:srgbClr val="5B9BD5"/>
            </a:solidFill>
          </c:spPr>
          <c:invertIfNegative val="0"/>
          <c:dLbls>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Sheet1!$A$2:$A$13</c:f>
              <c:strCache>
                <c:ptCount val="12"/>
                <c:pt idx="0">
                  <c:v>电视节目，如新闻联播</c:v>
                </c:pt>
                <c:pt idx="1">
                  <c:v>视频网站，如抖音、快手、B站</c:v>
                </c:pt>
                <c:pt idx="2">
                  <c:v>官方媒体网站，如人民网</c:v>
                </c:pt>
                <c:pt idx="3">
                  <c:v>学校、老师</c:v>
                </c:pt>
                <c:pt idx="4">
                  <c:v>同学、朋友</c:v>
                </c:pt>
                <c:pt idx="5">
                  <c:v>家长、亲戚</c:v>
                </c:pt>
                <c:pt idx="6">
                  <c:v>微信朋友圈</c:v>
                </c:pt>
                <c:pt idx="7">
                  <c:v>商业媒体网站，如今日头条</c:v>
                </c:pt>
                <c:pt idx="8">
                  <c:v>报刊杂志</c:v>
                </c:pt>
                <c:pt idx="9">
                  <c:v>微信公众号</c:v>
                </c:pt>
                <c:pt idx="10">
                  <c:v>微博</c:v>
                </c:pt>
                <c:pt idx="11">
                  <c:v>广播</c:v>
                </c:pt>
              </c:strCache>
            </c:strRef>
          </c:cat>
          <c:val>
            <c:numRef>
              <c:f>Sheet1!$B$2:$B$13</c:f>
              <c:numCache>
                <c:formatCode>0.0%</c:formatCode>
                <c:ptCount val="12"/>
                <c:pt idx="0">
                  <c:v>0.64875183304729</c:v>
                </c:pt>
                <c:pt idx="1">
                  <c:v>0.486902256849216</c:v>
                </c:pt>
                <c:pt idx="2">
                  <c:v>0.482491644945484</c:v>
                </c:pt>
                <c:pt idx="3">
                  <c:v>0.402516350337919</c:v>
                </c:pt>
                <c:pt idx="4">
                  <c:v>0.383244743164699</c:v>
                </c:pt>
                <c:pt idx="5">
                  <c:v>0.37526580865288</c:v>
                </c:pt>
                <c:pt idx="6">
                  <c:v>0.190544667692215</c:v>
                </c:pt>
                <c:pt idx="7">
                  <c:v>0.190040130609543</c:v>
                </c:pt>
                <c:pt idx="8">
                  <c:v>0.164575794879413</c:v>
                </c:pt>
                <c:pt idx="9">
                  <c:v>0.148865045530113</c:v>
                </c:pt>
                <c:pt idx="10">
                  <c:v>0.142275311608987</c:v>
                </c:pt>
                <c:pt idx="11">
                  <c:v>0.142121724241004</c:v>
                </c:pt>
              </c:numCache>
            </c:numRef>
          </c:val>
        </c:ser>
        <c:dLbls>
          <c:showLegendKey val="0"/>
          <c:showVal val="0"/>
          <c:showCatName val="0"/>
          <c:showSerName val="0"/>
          <c:showPercent val="0"/>
          <c:showBubbleSize val="0"/>
        </c:dLbls>
        <c:gapWidth val="100"/>
        <c:overlap val="-20"/>
        <c:axId val="412494848"/>
        <c:axId val="412775168"/>
      </c:barChart>
      <c:catAx>
        <c:axId val="412494848"/>
        <c:scaling>
          <c:orientation val="maxMin"/>
        </c:scaling>
        <c:delete val="0"/>
        <c:axPos val="l"/>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12775168"/>
        <c:crosses val="autoZero"/>
        <c:auto val="1"/>
        <c:lblAlgn val="ctr"/>
        <c:lblOffset val="100"/>
        <c:noMultiLvlLbl val="0"/>
      </c:catAx>
      <c:valAx>
        <c:axId val="412775168"/>
        <c:scaling>
          <c:orientation val="minMax"/>
        </c:scaling>
        <c:delete val="0"/>
        <c:axPos val="t"/>
        <c:majorGridlines>
          <c:spPr>
            <a:ln w="9525" cap="flat" cmpd="sng" algn="ctr">
              <a:solidFill>
                <a:sysClr val="window" lastClr="FFFFFF">
                  <a:lumMod val="85000"/>
                </a:sysClr>
              </a:solidFill>
              <a:prstDash val="dash"/>
              <a:round/>
            </a:ln>
          </c:spPr>
        </c:majorGridlines>
        <c:numFmt formatCode="0%" sourceLinked="0"/>
        <c:majorTickMark val="in"/>
        <c:minorTickMark val="none"/>
        <c:tickLblPos val="nextTo"/>
        <c:spPr>
          <a:ln w="9525"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12494848"/>
        <c:crosses val="autoZero"/>
        <c:crossBetween val="between"/>
        <c:majorUnit val="0.1"/>
      </c:valAx>
      <c:spPr>
        <a:noFill/>
        <a:ln w="12700">
          <a:noFill/>
        </a:ln>
      </c:spPr>
    </c:plotArea>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3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91568553930759"/>
          <c:y val="0.100516955380577"/>
          <c:w val="0.402092129788124"/>
          <c:h val="0.776841994750656"/>
        </c:manualLayout>
      </c:layout>
      <c:pieChart>
        <c:varyColors val="1"/>
        <c:ser>
          <c:idx val="0"/>
          <c:order val="0"/>
          <c:tx>
            <c:strRef>
              <c:f>Sheet1!$B$1</c:f>
              <c:strCache>
                <c:ptCount val="1"/>
                <c:pt idx="0">
                  <c:v>列2</c:v>
                </c:pt>
              </c:strCache>
            </c:strRef>
          </c:tx>
          <c:spPr>
            <a:solidFill>
              <a:srgbClr val="558ED5"/>
            </a:solidFill>
            <a:ln w="9525" cap="flat" cmpd="sng" algn="ctr">
              <a:solidFill>
                <a:srgbClr val="FFFFFF"/>
              </a:solidFill>
              <a:prstDash val="solid"/>
              <a:round/>
            </a:ln>
          </c:spPr>
          <c:explosion val="0"/>
          <c:dPt>
            <c:idx val="0"/>
            <c:bubble3D val="0"/>
            <c:spPr>
              <a:solidFill>
                <a:srgbClr val="558ED5"/>
              </a:solidFill>
              <a:ln w="9525" cap="flat" cmpd="sng" algn="ctr">
                <a:solidFill>
                  <a:srgbClr val="FFFFFF"/>
                </a:solidFill>
                <a:prstDash val="solid"/>
                <a:round/>
              </a:ln>
            </c:spPr>
          </c:dPt>
          <c:dPt>
            <c:idx val="1"/>
            <c:bubble3D val="0"/>
            <c:spPr>
              <a:solidFill>
                <a:srgbClr val="C6D9F1"/>
              </a:solidFill>
              <a:ln w="9525" cap="flat" cmpd="sng" algn="ctr">
                <a:solidFill>
                  <a:srgbClr val="FFFFFF"/>
                </a:solidFill>
                <a:prstDash val="solid"/>
                <a:round/>
              </a:ln>
            </c:spPr>
          </c:dPt>
          <c:dPt>
            <c:idx val="2"/>
            <c:bubble3D val="0"/>
            <c:spPr>
              <a:solidFill>
                <a:srgbClr val="4F81BD">
                  <a:lumMod val="60000"/>
                  <a:lumOff val="40000"/>
                </a:srgbClr>
              </a:solidFill>
              <a:ln w="9525" cap="flat" cmpd="sng" algn="ctr">
                <a:solidFill>
                  <a:srgbClr val="FFFFFF"/>
                </a:solidFill>
                <a:prstDash val="solid"/>
                <a:round/>
              </a:ln>
            </c:spPr>
          </c:dPt>
          <c:dLbls>
            <c:dLbl>
              <c:idx val="0"/>
              <c:layout>
                <c:manualLayout>
                  <c:x val="0.012329980491569"/>
                  <c:y val="-0.209117060367454"/>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030542486537009"/>
                  <c:y val="0.0519735433070866"/>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2"/>
              <c:layout>
                <c:manualLayout>
                  <c:x val="0.0357674855860408"/>
                  <c:y val="0.142353385826772"/>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Arial" panose="020B0604020202020204" pitchFamily="2" charset="0"/>
                    <a:ea typeface="黑体" panose="02010609060101010101" charset="-122"/>
                    <a:cs typeface="Arial" panose="020B0604020202020204" pitchFamily="2" charset="0"/>
                  </a:defRPr>
                </a:pPr>
              </a:p>
            </c:txPr>
            <c:dLblPos val="bestFit"/>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ext>
            </c:extLst>
          </c:dLbls>
          <c:cat>
            <c:strRef>
              <c:f>Sheet1!$A$2:$A$4</c:f>
              <c:strCache>
                <c:ptCount val="3"/>
                <c:pt idx="0">
                  <c:v>会有意识地区分官方发布还是自媒体发布</c:v>
                </c:pt>
                <c:pt idx="1">
                  <c:v>不会区分</c:v>
                </c:pt>
                <c:pt idx="2">
                  <c:v>没关注过/没想过这个问题</c:v>
                </c:pt>
              </c:strCache>
            </c:strRef>
          </c:cat>
          <c:val>
            <c:numRef>
              <c:f>Sheet1!$B$2:$B$4</c:f>
              <c:numCache>
                <c:formatCode>0.0%</c:formatCode>
                <c:ptCount val="3"/>
                <c:pt idx="0">
                  <c:v>0.480551978037618</c:v>
                </c:pt>
                <c:pt idx="1">
                  <c:v>0.203886190232759</c:v>
                </c:pt>
                <c:pt idx="2">
                  <c:v>0.315561831729623</c:v>
                </c:pt>
              </c:numCache>
            </c:numRef>
          </c:val>
        </c:ser>
        <c:dLbls>
          <c:showLegendKey val="0"/>
          <c:showVal val="0"/>
          <c:showCatName val="0"/>
          <c:showSerName val="0"/>
          <c:showPercent val="0"/>
          <c:showBubbleSize val="0"/>
          <c:showLeaderLines val="1"/>
        </c:dLbls>
        <c:firstSliceAng val="45"/>
      </c:pieChart>
      <c:spPr>
        <a:noFill/>
        <a:ln w="12700">
          <a:noFill/>
        </a:ln>
      </c:spPr>
    </c:plotArea>
    <c:plotVisOnly val="1"/>
    <c:dispBlanksAs val="zero"/>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3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hart>
    <c:autoTitleDeleted val="1"/>
    <c:plotArea>
      <c:layout>
        <c:manualLayout>
          <c:layoutTarget val="inner"/>
          <c:xMode val="edge"/>
          <c:yMode val="edge"/>
          <c:x val="0.190202187708027"/>
          <c:y val="0.0816533620571352"/>
          <c:w val="0.774767895758903"/>
          <c:h val="0.890175734774357"/>
        </c:manualLayout>
      </c:layout>
      <c:barChart>
        <c:barDir val="bar"/>
        <c:grouping val="clustered"/>
        <c:varyColors val="0"/>
        <c:ser>
          <c:idx val="0"/>
          <c:order val="0"/>
          <c:tx>
            <c:strRef>
              <c:f>Sheet1!$B$1</c:f>
              <c:strCache>
                <c:ptCount val="1"/>
                <c:pt idx="0">
                  <c:v>2016.12</c:v>
                </c:pt>
              </c:strCache>
            </c:strRef>
          </c:tx>
          <c:spPr>
            <a:solidFill>
              <a:srgbClr val="5B9BD5"/>
            </a:solidFill>
            <a:effectLst>
              <a:outerShdw blurRad="38100" dist="12700" dir="5400000" algn="tl" rotWithShape="0">
                <a:prstClr val="black">
                  <a:alpha val="40000"/>
                </a:prstClr>
              </a:outerShdw>
            </a:effectLst>
          </c:spPr>
          <c:invertIfNegative val="0"/>
          <c:dLbls>
            <c:dLbl>
              <c:idx val="1"/>
              <c:layout>
                <c:manualLayout>
                  <c:x val="-2.04254623814059e-7"/>
                  <c:y val="0.0019474270261672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0.0%" sourceLinked="0"/>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Sheet1!$A$2:$A$10</c:f>
              <c:strCache>
                <c:ptCount val="9"/>
                <c:pt idx="0">
                  <c:v>注意识别网络诈骗</c:v>
                </c:pt>
                <c:pt idx="1">
                  <c:v>避免在社交网站发布个人信息</c:v>
                </c:pt>
                <c:pt idx="2">
                  <c:v>避免浏览不良内容</c:v>
                </c:pt>
                <c:pt idx="3">
                  <c:v>避免在网络上过度消费</c:v>
                </c:pt>
                <c:pt idx="4">
                  <c:v>不要在网络上辱骂他人，抵制网络暴力</c:v>
                </c:pt>
                <c:pt idx="5">
                  <c:v>警惕恶意软件</c:v>
                </c:pt>
                <c:pt idx="6">
                  <c:v>注意分辨网络谣言</c:v>
                </c:pt>
                <c:pt idx="7">
                  <c:v>对不良内容进行举报</c:v>
                </c:pt>
                <c:pt idx="8">
                  <c:v>以上均无/没想过这个问题</c:v>
                </c:pt>
              </c:strCache>
            </c:strRef>
          </c:cat>
          <c:val>
            <c:numRef>
              <c:f>Sheet1!$B$2:$B$10</c:f>
              <c:numCache>
                <c:formatCode>0.0%</c:formatCode>
                <c:ptCount val="9"/>
                <c:pt idx="0">
                  <c:v>0.758111872318</c:v>
                </c:pt>
                <c:pt idx="1">
                  <c:v>0.674094707520891</c:v>
                </c:pt>
                <c:pt idx="2">
                  <c:v>0.668674245275917</c:v>
                </c:pt>
                <c:pt idx="3">
                  <c:v>0.620944063841</c:v>
                </c:pt>
                <c:pt idx="4">
                  <c:v>0.605661371678085</c:v>
                </c:pt>
                <c:pt idx="5">
                  <c:v>0.60505909809531</c:v>
                </c:pt>
                <c:pt idx="6">
                  <c:v>0.51697658661447</c:v>
                </c:pt>
                <c:pt idx="7">
                  <c:v>0.388541745087706</c:v>
                </c:pt>
                <c:pt idx="8">
                  <c:v>0.0880825114808402</c:v>
                </c:pt>
              </c:numCache>
            </c:numRef>
          </c:val>
        </c:ser>
        <c:dLbls>
          <c:showLegendKey val="0"/>
          <c:showVal val="0"/>
          <c:showCatName val="0"/>
          <c:showSerName val="0"/>
          <c:showPercent val="0"/>
          <c:showBubbleSize val="0"/>
        </c:dLbls>
        <c:gapWidth val="150"/>
        <c:axId val="424504320"/>
        <c:axId val="424506112"/>
      </c:barChart>
      <c:catAx>
        <c:axId val="424504320"/>
        <c:scaling>
          <c:orientation val="maxMin"/>
        </c:scaling>
        <c:delete val="0"/>
        <c:axPos val="l"/>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24506112"/>
        <c:crosses val="autoZero"/>
        <c:auto val="1"/>
        <c:lblAlgn val="ctr"/>
        <c:lblOffset val="100"/>
        <c:noMultiLvlLbl val="0"/>
      </c:catAx>
      <c:valAx>
        <c:axId val="424506112"/>
        <c:scaling>
          <c:orientation val="minMax"/>
        </c:scaling>
        <c:delete val="0"/>
        <c:axPos val="t"/>
        <c:majorGridlines>
          <c:spPr>
            <a:ln w="6350" cap="flat" cmpd="sng" algn="ctr">
              <a:solidFill>
                <a:sysClr val="window" lastClr="FFFFFF">
                  <a:lumMod val="85000"/>
                </a:sysClr>
              </a:solidFill>
              <a:prstDash val="dash"/>
              <a:round/>
            </a:ln>
          </c:spPr>
        </c:majorGridlines>
        <c:numFmt formatCode="0%" sourceLinked="0"/>
        <c:majorTickMark val="in"/>
        <c:minorTickMark val="none"/>
        <c:tickLblPos val="nextTo"/>
        <c:spPr>
          <a:ln w="6350"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24504320"/>
        <c:crosses val="autoZero"/>
        <c:crossBetween val="between"/>
      </c:valAx>
      <c:spPr>
        <a:noFill/>
        <a:ln w="12700">
          <a:noFill/>
        </a:ln>
      </c:spPr>
    </c:plotArea>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3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hart>
    <c:autoTitleDeleted val="1"/>
    <c:plotArea>
      <c:layout>
        <c:manualLayout>
          <c:layoutTarget val="inner"/>
          <c:xMode val="edge"/>
          <c:yMode val="edge"/>
          <c:x val="0.190202187708027"/>
          <c:y val="0.0783649700808116"/>
          <c:w val="0.774767895758903"/>
          <c:h val="0.873733774892739"/>
        </c:manualLayout>
      </c:layout>
      <c:barChart>
        <c:barDir val="bar"/>
        <c:grouping val="clustered"/>
        <c:varyColors val="0"/>
        <c:ser>
          <c:idx val="0"/>
          <c:order val="0"/>
          <c:tx>
            <c:strRef>
              <c:f>Sheet1!$B$1</c:f>
              <c:strCache>
                <c:ptCount val="1"/>
                <c:pt idx="0">
                  <c:v>2016.12</c:v>
                </c:pt>
              </c:strCache>
            </c:strRef>
          </c:tx>
          <c:spPr>
            <a:solidFill>
              <a:srgbClr val="5B9BD5"/>
            </a:solidFill>
            <a:effectLst>
              <a:outerShdw blurRad="38100" dist="12700" dir="5400000" algn="tl" rotWithShape="0">
                <a:prstClr val="black">
                  <a:alpha val="40000"/>
                </a:prstClr>
              </a:outerShdw>
            </a:effectLst>
          </c:spPr>
          <c:invertIfNegative val="0"/>
          <c:dPt>
            <c:idx val="0"/>
            <c:invertIfNegative val="0"/>
            <c:bubble3D val="0"/>
          </c:dPt>
          <c:dLbls>
            <c:dLbl>
              <c:idx val="1"/>
              <c:layout>
                <c:manualLayout>
                  <c:x val="-2.04254623814059e-7"/>
                  <c:y val="0.0019474270261672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0.0%" sourceLinked="0"/>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Sheet1!$A$2:$A$10</c:f>
              <c:strCache>
                <c:ptCount val="9"/>
                <c:pt idx="0">
                  <c:v>注意识别网络诈骗</c:v>
                </c:pt>
                <c:pt idx="1">
                  <c:v>避免浏览不良内容</c:v>
                </c:pt>
                <c:pt idx="2">
                  <c:v>避免在社交网站发布个人信息</c:v>
                </c:pt>
                <c:pt idx="3">
                  <c:v>不要在网络上辱骂他人，抵制网络暴力</c:v>
                </c:pt>
                <c:pt idx="4">
                  <c:v>避免在网络上过度消费</c:v>
                </c:pt>
                <c:pt idx="5">
                  <c:v>警惕恶意软件</c:v>
                </c:pt>
                <c:pt idx="6">
                  <c:v>注意分辨网络谣言</c:v>
                </c:pt>
                <c:pt idx="7">
                  <c:v>对不良内容进行举报</c:v>
                </c:pt>
                <c:pt idx="8">
                  <c:v>以上均无/没想过这个问题</c:v>
                </c:pt>
              </c:strCache>
            </c:strRef>
          </c:cat>
          <c:val>
            <c:numRef>
              <c:f>Sheet1!$B$2:$B$10</c:f>
              <c:numCache>
                <c:formatCode>0.0%</c:formatCode>
                <c:ptCount val="9"/>
                <c:pt idx="0">
                  <c:v>0.83578431372549</c:v>
                </c:pt>
                <c:pt idx="1">
                  <c:v>0.775735294117647</c:v>
                </c:pt>
                <c:pt idx="2">
                  <c:v>0.768995098039216</c:v>
                </c:pt>
                <c:pt idx="3">
                  <c:v>0.724264705882353</c:v>
                </c:pt>
                <c:pt idx="4">
                  <c:v>0.677696078431373</c:v>
                </c:pt>
                <c:pt idx="5">
                  <c:v>0.661151960784314</c:v>
                </c:pt>
                <c:pt idx="6">
                  <c:v>0.636642156862745</c:v>
                </c:pt>
                <c:pt idx="7">
                  <c:v>0.483455882352941</c:v>
                </c:pt>
                <c:pt idx="8">
                  <c:v>0.022671568627451</c:v>
                </c:pt>
              </c:numCache>
            </c:numRef>
          </c:val>
        </c:ser>
        <c:dLbls>
          <c:showLegendKey val="0"/>
          <c:showVal val="0"/>
          <c:showCatName val="0"/>
          <c:showSerName val="0"/>
          <c:showPercent val="0"/>
          <c:showBubbleSize val="0"/>
        </c:dLbls>
        <c:gapWidth val="150"/>
        <c:axId val="424504320"/>
        <c:axId val="424506112"/>
      </c:barChart>
      <c:catAx>
        <c:axId val="424504320"/>
        <c:scaling>
          <c:orientation val="maxMin"/>
        </c:scaling>
        <c:delete val="0"/>
        <c:axPos val="l"/>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24506112"/>
        <c:crosses val="autoZero"/>
        <c:auto val="1"/>
        <c:lblAlgn val="ctr"/>
        <c:lblOffset val="100"/>
        <c:noMultiLvlLbl val="0"/>
      </c:catAx>
      <c:valAx>
        <c:axId val="424506112"/>
        <c:scaling>
          <c:orientation val="minMax"/>
        </c:scaling>
        <c:delete val="0"/>
        <c:axPos val="t"/>
        <c:majorGridlines>
          <c:spPr>
            <a:ln w="6350" cap="flat" cmpd="sng" algn="ctr">
              <a:solidFill>
                <a:sysClr val="window" lastClr="FFFFFF">
                  <a:lumMod val="85000"/>
                </a:sysClr>
              </a:solidFill>
              <a:prstDash val="dash"/>
              <a:round/>
            </a:ln>
          </c:spPr>
        </c:majorGridlines>
        <c:numFmt formatCode="0%" sourceLinked="0"/>
        <c:majorTickMark val="in"/>
        <c:minorTickMark val="none"/>
        <c:tickLblPos val="nextTo"/>
        <c:spPr>
          <a:ln w="6350"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24504320"/>
        <c:crosses val="autoZero"/>
        <c:crossBetween val="between"/>
      </c:valAx>
      <c:spPr>
        <a:noFill/>
        <a:ln w="12700">
          <a:noFill/>
        </a:ln>
      </c:spPr>
    </c:plotArea>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3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94329078430414"/>
          <c:y val="0.169850288713911"/>
          <c:w val="0.380007933790885"/>
          <c:h val="0.73417532808399"/>
        </c:manualLayout>
      </c:layout>
      <c:pieChart>
        <c:varyColors val="1"/>
        <c:ser>
          <c:idx val="0"/>
          <c:order val="0"/>
          <c:tx>
            <c:strRef>
              <c:f>Sheet1!$B$1</c:f>
              <c:strCache>
                <c:ptCount val="1"/>
                <c:pt idx="0">
                  <c:v>列2</c:v>
                </c:pt>
              </c:strCache>
            </c:strRef>
          </c:tx>
          <c:spPr>
            <a:solidFill>
              <a:srgbClr val="558ED5"/>
            </a:solidFill>
            <a:ln w="9525" cap="flat" cmpd="sng" algn="ctr">
              <a:solidFill>
                <a:srgbClr val="FFFFFF"/>
              </a:solidFill>
              <a:prstDash val="solid"/>
              <a:round/>
            </a:ln>
          </c:spPr>
          <c:explosion val="0"/>
          <c:dPt>
            <c:idx val="0"/>
            <c:bubble3D val="0"/>
            <c:spPr>
              <a:solidFill>
                <a:srgbClr val="558ED5"/>
              </a:solidFill>
              <a:ln w="9525" cap="flat" cmpd="sng" algn="ctr">
                <a:solidFill>
                  <a:srgbClr val="FFFFFF"/>
                </a:solidFill>
                <a:prstDash val="solid"/>
                <a:round/>
              </a:ln>
            </c:spPr>
          </c:dPt>
          <c:dPt>
            <c:idx val="1"/>
            <c:bubble3D val="0"/>
            <c:spPr>
              <a:solidFill>
                <a:srgbClr val="C6D9F1"/>
              </a:solidFill>
              <a:ln w="9525" cap="flat" cmpd="sng" algn="ctr">
                <a:solidFill>
                  <a:srgbClr val="FFFFFF"/>
                </a:solidFill>
                <a:prstDash val="solid"/>
                <a:round/>
              </a:ln>
            </c:spPr>
          </c:dPt>
          <c:dPt>
            <c:idx val="2"/>
            <c:bubble3D val="0"/>
            <c:spPr>
              <a:solidFill>
                <a:srgbClr val="4F81BD">
                  <a:lumMod val="60000"/>
                  <a:lumOff val="40000"/>
                </a:srgbClr>
              </a:solidFill>
              <a:ln w="9525" cap="flat" cmpd="sng" algn="ctr">
                <a:solidFill>
                  <a:srgbClr val="FFFFFF"/>
                </a:solidFill>
                <a:prstDash val="solid"/>
                <a:round/>
              </a:ln>
            </c:spPr>
          </c:dPt>
          <c:dLbls>
            <c:dLbl>
              <c:idx val="0"/>
              <c:layout>
                <c:manualLayout>
                  <c:x val="0.0560751645174788"/>
                  <c:y val="-0.252367454068241"/>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0738677230563571"/>
                  <c:y val="-0.0408281364829397"/>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2"/>
              <c:layout>
                <c:manualLayout>
                  <c:x val="0.0619076963205686"/>
                  <c:y val="0.00780724409448819"/>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spAutoFit/>
              </a:bodyPr>
              <a:lstStyle/>
              <a:p>
                <a:pPr>
                  <a:defRPr lang="zh-CN" sz="900" b="0" i="0" u="none" strike="noStrike" kern="1200" baseline="0">
                    <a:solidFill>
                      <a:schemeClr val="tx1"/>
                    </a:solidFill>
                    <a:latin typeface="Arial" panose="020B0604020202020204" pitchFamily="2" charset="0"/>
                    <a:ea typeface="黑体" panose="02010609060101010101" charset="-122"/>
                    <a:cs typeface="Arial" panose="020B0604020202020204" pitchFamily="2" charset="0"/>
                  </a:defRPr>
                </a:pPr>
              </a:p>
            </c:txPr>
            <c:dLblPos val="bestFit"/>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ext>
            </c:extLst>
          </c:dLbls>
          <c:cat>
            <c:strRef>
              <c:f>Sheet1!$A$2:$A$4</c:f>
              <c:strCache>
                <c:ptCount val="3"/>
                <c:pt idx="0">
                  <c:v>有</c:v>
                </c:pt>
                <c:pt idx="1">
                  <c:v>没有</c:v>
                </c:pt>
                <c:pt idx="2">
                  <c:v>不知道</c:v>
                </c:pt>
              </c:strCache>
            </c:strRef>
          </c:cat>
          <c:val>
            <c:numRef>
              <c:f>Sheet1!$B$2:$B$4</c:f>
              <c:numCache>
                <c:formatCode>0.0%</c:formatCode>
                <c:ptCount val="3"/>
                <c:pt idx="0">
                  <c:v>0.867374909086529</c:v>
                </c:pt>
                <c:pt idx="1">
                  <c:v>0.0786207476418684</c:v>
                </c:pt>
                <c:pt idx="2">
                  <c:v>0.0540043432716024</c:v>
                </c:pt>
              </c:numCache>
            </c:numRef>
          </c:val>
        </c:ser>
        <c:dLbls>
          <c:showLegendKey val="0"/>
          <c:showVal val="0"/>
          <c:showCatName val="0"/>
          <c:showSerName val="0"/>
          <c:showPercent val="0"/>
          <c:showBubbleSize val="0"/>
          <c:showLeaderLines val="1"/>
        </c:dLbls>
        <c:firstSliceAng val="45"/>
      </c:pieChart>
      <c:spPr>
        <a:noFill/>
        <a:ln w="12700">
          <a:noFill/>
        </a:ln>
      </c:spPr>
    </c:plotArea>
    <c:plotVisOnly val="1"/>
    <c:dispBlanksAs val="zero"/>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3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99850127429723"/>
          <c:y val="0.111183622047244"/>
          <c:w val="0.404852654287779"/>
          <c:h val="0.782175328083989"/>
        </c:manualLayout>
      </c:layout>
      <c:pieChart>
        <c:varyColors val="1"/>
        <c:ser>
          <c:idx val="0"/>
          <c:order val="0"/>
          <c:tx>
            <c:strRef>
              <c:f>Sheet1!$B$1</c:f>
              <c:strCache>
                <c:ptCount val="1"/>
                <c:pt idx="0">
                  <c:v>列2</c:v>
                </c:pt>
              </c:strCache>
            </c:strRef>
          </c:tx>
          <c:spPr>
            <a:solidFill>
              <a:srgbClr val="558ED5"/>
            </a:solidFill>
            <a:ln w="9525" cap="flat" cmpd="sng" algn="ctr">
              <a:solidFill>
                <a:srgbClr val="FFFFFF"/>
              </a:solidFill>
              <a:prstDash val="solid"/>
              <a:round/>
            </a:ln>
          </c:spPr>
          <c:explosion val="0"/>
          <c:dPt>
            <c:idx val="0"/>
            <c:bubble3D val="0"/>
            <c:spPr>
              <a:solidFill>
                <a:srgbClr val="558ED5"/>
              </a:solidFill>
              <a:ln w="9525" cap="flat" cmpd="sng" algn="ctr">
                <a:solidFill>
                  <a:srgbClr val="FFFFFF"/>
                </a:solidFill>
                <a:prstDash val="solid"/>
                <a:round/>
              </a:ln>
            </c:spPr>
          </c:dPt>
          <c:dPt>
            <c:idx val="1"/>
            <c:bubble3D val="0"/>
            <c:spPr>
              <a:solidFill>
                <a:srgbClr val="C6D9F1"/>
              </a:solidFill>
              <a:ln w="9525" cap="flat" cmpd="sng" algn="ctr">
                <a:solidFill>
                  <a:srgbClr val="FFFFFF"/>
                </a:solidFill>
                <a:prstDash val="solid"/>
                <a:round/>
              </a:ln>
            </c:spPr>
          </c:dPt>
          <c:dPt>
            <c:idx val="2"/>
            <c:bubble3D val="0"/>
            <c:spPr>
              <a:solidFill>
                <a:srgbClr val="4F81BD">
                  <a:lumMod val="60000"/>
                  <a:lumOff val="40000"/>
                </a:srgbClr>
              </a:solidFill>
              <a:ln w="9525" cap="flat" cmpd="sng" algn="ctr">
                <a:solidFill>
                  <a:srgbClr val="FFFFFF"/>
                </a:solidFill>
                <a:prstDash val="solid"/>
                <a:round/>
              </a:ln>
            </c:spPr>
          </c:dPt>
          <c:dLbls>
            <c:dLbl>
              <c:idx val="0"/>
              <c:layout>
                <c:manualLayout>
                  <c:x val="0.0128568711519755"/>
                  <c:y val="-0.213333333333333"/>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0545175331344451"/>
                  <c:y val="0.16036031496063"/>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2"/>
              <c:delete val="1"/>
            </c:dLbl>
            <c:spPr>
              <a:noFill/>
              <a:ln>
                <a:noFill/>
              </a:ln>
              <a:effectLst/>
            </c:spPr>
            <c:txPr>
              <a:bodyPr rot="0" spcFirstLastPara="0" vertOverflow="ellipsis" vert="horz" wrap="square" lIns="38100" tIns="19050" rIns="38100" bIns="19050" anchor="ctr" anchorCtr="1">
                <a:spAutoFit/>
              </a:bodyPr>
              <a:lstStyle/>
              <a:p>
                <a:pPr>
                  <a:defRPr lang="zh-CN" sz="900" b="0" i="0" u="none" strike="noStrike" kern="1200" baseline="0">
                    <a:solidFill>
                      <a:schemeClr val="tx1"/>
                    </a:solidFill>
                    <a:latin typeface="Arial" panose="020B0604020202020204" pitchFamily="2" charset="0"/>
                    <a:ea typeface="黑体" panose="02010609060101010101" charset="-122"/>
                    <a:cs typeface="Arial" panose="020B0604020202020204" pitchFamily="2" charset="0"/>
                  </a:defRPr>
                </a:pPr>
              </a:p>
            </c:txPr>
            <c:dLblPos val="bestFit"/>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ext>
            </c:extLst>
          </c:dLbls>
          <c:cat>
            <c:strRef>
              <c:f>Sheet1!$A$2:$A$4</c:f>
              <c:strCache>
                <c:ptCount val="2"/>
                <c:pt idx="0">
                  <c:v>孩子可以自由上网，不需要我监督/我不懂网络，无法监督孩子上网</c:v>
                </c:pt>
                <c:pt idx="1">
                  <c:v>孩子上网必须在我监督之下</c:v>
                </c:pt>
              </c:strCache>
            </c:strRef>
          </c:cat>
          <c:val>
            <c:numRef>
              <c:f>Sheet1!$B$2:$B$4</c:f>
              <c:numCache>
                <c:formatCode>0.0%</c:formatCode>
                <c:ptCount val="3"/>
                <c:pt idx="0">
                  <c:v>0.46</c:v>
                </c:pt>
                <c:pt idx="1">
                  <c:v>0.54033174278573</c:v>
                </c:pt>
              </c:numCache>
            </c:numRef>
          </c:val>
        </c:ser>
        <c:dLbls>
          <c:showLegendKey val="0"/>
          <c:showVal val="0"/>
          <c:showCatName val="0"/>
          <c:showSerName val="0"/>
          <c:showPercent val="0"/>
          <c:showBubbleSize val="0"/>
          <c:showLeaderLines val="1"/>
        </c:dLbls>
        <c:firstSliceAng val="45"/>
      </c:pieChart>
      <c:spPr>
        <a:noFill/>
        <a:ln w="12700">
          <a:noFill/>
        </a:ln>
      </c:spPr>
    </c:plotArea>
    <c:plotVisOnly val="1"/>
    <c:dispBlanksAs val="zero"/>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3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302610651929378"/>
          <c:y val="0.137850288713911"/>
          <c:w val="0.407613178787434"/>
          <c:h val="0.787508661417323"/>
        </c:manualLayout>
      </c:layout>
      <c:pieChart>
        <c:varyColors val="1"/>
        <c:ser>
          <c:idx val="0"/>
          <c:order val="0"/>
          <c:tx>
            <c:strRef>
              <c:f>Sheet1!$B$1</c:f>
              <c:strCache>
                <c:ptCount val="1"/>
                <c:pt idx="0">
                  <c:v>列2</c:v>
                </c:pt>
              </c:strCache>
            </c:strRef>
          </c:tx>
          <c:spPr>
            <a:solidFill>
              <a:srgbClr val="558ED5"/>
            </a:solidFill>
            <a:ln w="9525" cap="flat" cmpd="sng" algn="ctr">
              <a:solidFill>
                <a:srgbClr val="FFFFFF"/>
              </a:solidFill>
              <a:prstDash val="solid"/>
              <a:round/>
            </a:ln>
          </c:spPr>
          <c:explosion val="0"/>
          <c:dPt>
            <c:idx val="0"/>
            <c:bubble3D val="0"/>
            <c:spPr>
              <a:solidFill>
                <a:srgbClr val="558ED5"/>
              </a:solidFill>
              <a:ln w="9525" cap="flat" cmpd="sng" algn="ctr">
                <a:solidFill>
                  <a:srgbClr val="FFFFFF"/>
                </a:solidFill>
                <a:prstDash val="solid"/>
                <a:round/>
              </a:ln>
            </c:spPr>
          </c:dPt>
          <c:dPt>
            <c:idx val="1"/>
            <c:bubble3D val="0"/>
            <c:spPr>
              <a:solidFill>
                <a:srgbClr val="C6D9F1"/>
              </a:solidFill>
              <a:ln w="9525" cap="flat" cmpd="sng" algn="ctr">
                <a:solidFill>
                  <a:srgbClr val="FFFFFF"/>
                </a:solidFill>
                <a:prstDash val="solid"/>
                <a:round/>
              </a:ln>
            </c:spPr>
          </c:dPt>
          <c:dPt>
            <c:idx val="2"/>
            <c:bubble3D val="0"/>
            <c:spPr>
              <a:solidFill>
                <a:srgbClr val="4F81BD">
                  <a:lumMod val="60000"/>
                  <a:lumOff val="40000"/>
                </a:srgbClr>
              </a:solidFill>
              <a:ln w="9525" cap="flat" cmpd="sng" algn="ctr">
                <a:solidFill>
                  <a:srgbClr val="FFFFFF"/>
                </a:solidFill>
                <a:prstDash val="solid"/>
                <a:round/>
              </a:ln>
            </c:spPr>
          </c:dPt>
          <c:dLbls>
            <c:dLbl>
              <c:idx val="0"/>
              <c:layout>
                <c:manualLayout>
                  <c:x val="-0.0451141433407782"/>
                  <c:y val="0.0728520734908135"/>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0407149106361705"/>
                  <c:y val="-0.217485354330709"/>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2"/>
              <c:layout>
                <c:manualLayout>
                  <c:x val="-0.070699423441635"/>
                  <c:y val="0.0504327559055118"/>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spAutoFit/>
              </a:bodyPr>
              <a:lstStyle/>
              <a:p>
                <a:pPr>
                  <a:defRPr lang="zh-CN" sz="900" b="0" i="0" u="none" strike="noStrike" kern="1200" baseline="0">
                    <a:solidFill>
                      <a:schemeClr val="tx1"/>
                    </a:solidFill>
                    <a:latin typeface="Arial" panose="020B0604020202020204" pitchFamily="2" charset="0"/>
                    <a:ea typeface="黑体" panose="02010609060101010101" charset="-122"/>
                    <a:cs typeface="Arial" panose="020B0604020202020204" pitchFamily="2" charset="0"/>
                  </a:defRPr>
                </a:pPr>
              </a:p>
            </c:txPr>
            <c:dLblPos val="bestFit"/>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ext>
            </c:extLst>
          </c:dLbls>
          <c:cat>
            <c:strRef>
              <c:f>Sheet1!$A$2:$A$4</c:f>
              <c:strCache>
                <c:ptCount val="3"/>
                <c:pt idx="0">
                  <c:v>禁止孩子上网娱乐</c:v>
                </c:pt>
                <c:pt idx="1">
                  <c:v>与孩子约定，达到要求时允许孩子适度上网娱乐</c:v>
                </c:pt>
                <c:pt idx="2">
                  <c:v>不限制或无法限制孩子上网娱乐</c:v>
                </c:pt>
              </c:strCache>
            </c:strRef>
          </c:cat>
          <c:val>
            <c:numRef>
              <c:f>Sheet1!$B$2:$B$4</c:f>
              <c:numCache>
                <c:formatCode>0.0%</c:formatCode>
                <c:ptCount val="3"/>
                <c:pt idx="0">
                  <c:v>0.130332829046899</c:v>
                </c:pt>
                <c:pt idx="1">
                  <c:v>0.797049924357035</c:v>
                </c:pt>
                <c:pt idx="2">
                  <c:v>0.073</c:v>
                </c:pt>
              </c:numCache>
            </c:numRef>
          </c:val>
        </c:ser>
        <c:dLbls>
          <c:showLegendKey val="0"/>
          <c:showVal val="0"/>
          <c:showCatName val="0"/>
          <c:showSerName val="0"/>
          <c:showPercent val="0"/>
          <c:showBubbleSize val="0"/>
          <c:showLeaderLines val="1"/>
        </c:dLbls>
        <c:firstSliceAng val="45"/>
      </c:pieChart>
      <c:spPr>
        <a:noFill/>
        <a:ln w="12700">
          <a:noFill/>
        </a:ln>
      </c:spPr>
    </c:plotArea>
    <c:plotVisOnly val="1"/>
    <c:dispBlanksAs val="zero"/>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3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97089602930069"/>
          <c:y val="0.148516955380577"/>
          <c:w val="0.396571080788814"/>
          <c:h val="0.766175328083989"/>
        </c:manualLayout>
      </c:layout>
      <c:pieChart>
        <c:varyColors val="1"/>
        <c:ser>
          <c:idx val="0"/>
          <c:order val="0"/>
          <c:tx>
            <c:strRef>
              <c:f>Sheet1!$B$1</c:f>
              <c:strCache>
                <c:ptCount val="1"/>
                <c:pt idx="0">
                  <c:v>列2</c:v>
                </c:pt>
              </c:strCache>
            </c:strRef>
          </c:tx>
          <c:spPr>
            <a:solidFill>
              <a:srgbClr val="558ED5"/>
            </a:solidFill>
            <a:ln w="9525" cap="flat" cmpd="sng" algn="ctr">
              <a:solidFill>
                <a:srgbClr val="FFFFFF"/>
              </a:solidFill>
              <a:prstDash val="solid"/>
              <a:round/>
            </a:ln>
          </c:spPr>
          <c:explosion val="0"/>
          <c:dPt>
            <c:idx val="0"/>
            <c:bubble3D val="0"/>
            <c:spPr>
              <a:solidFill>
                <a:srgbClr val="558ED5"/>
              </a:solidFill>
              <a:ln w="9525" cap="flat" cmpd="sng" algn="ctr">
                <a:solidFill>
                  <a:srgbClr val="FFFFFF"/>
                </a:solidFill>
                <a:prstDash val="solid"/>
                <a:round/>
              </a:ln>
            </c:spPr>
          </c:dPt>
          <c:dPt>
            <c:idx val="1"/>
            <c:bubble3D val="0"/>
            <c:spPr>
              <a:solidFill>
                <a:srgbClr val="C6D9F1"/>
              </a:solidFill>
              <a:ln w="9525" cap="flat" cmpd="sng" algn="ctr">
                <a:solidFill>
                  <a:srgbClr val="FFFFFF"/>
                </a:solidFill>
                <a:prstDash val="solid"/>
                <a:round/>
              </a:ln>
            </c:spPr>
          </c:dPt>
          <c:dPt>
            <c:idx val="2"/>
            <c:bubble3D val="0"/>
            <c:spPr>
              <a:solidFill>
                <a:srgbClr val="4F81BD">
                  <a:lumMod val="60000"/>
                  <a:lumOff val="40000"/>
                </a:srgbClr>
              </a:solidFill>
              <a:ln w="9525" cap="flat" cmpd="sng" algn="ctr">
                <a:solidFill>
                  <a:srgbClr val="FFFFFF"/>
                </a:solidFill>
                <a:prstDash val="solid"/>
                <a:round/>
              </a:ln>
            </c:spPr>
          </c:dPt>
          <c:dLbls>
            <c:dLbl>
              <c:idx val="0"/>
              <c:layout>
                <c:manualLayout>
                  <c:x val="0.012329980491569"/>
                  <c:y val="-0.209117060367454"/>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030542486537009"/>
                  <c:y val="0.0519735433070866"/>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2"/>
              <c:layout>
                <c:manualLayout>
                  <c:x val="0.0054017160898366"/>
                  <c:y val="0.131686719160105"/>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Arial" panose="020B0604020202020204" pitchFamily="2" charset="0"/>
                    <a:ea typeface="黑体" panose="02010609060101010101" charset="-122"/>
                    <a:cs typeface="Arial" panose="020B0604020202020204" pitchFamily="2" charset="0"/>
                  </a:defRPr>
                </a:pPr>
              </a:p>
            </c:txPr>
            <c:dLblPos val="bestFit"/>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ext>
            </c:extLst>
          </c:dLbls>
          <c:cat>
            <c:strRef>
              <c:f>Sheet1!$A$2:$A$4</c:f>
              <c:strCache>
                <c:ptCount val="3"/>
                <c:pt idx="0">
                  <c:v>设置过</c:v>
                </c:pt>
                <c:pt idx="1">
                  <c:v>没设置过</c:v>
                </c:pt>
                <c:pt idx="2">
                  <c:v>不知道是什么/没想过这个问题</c:v>
                </c:pt>
              </c:strCache>
            </c:strRef>
          </c:cat>
          <c:val>
            <c:numRef>
              <c:f>Sheet1!$B$2:$B$4</c:f>
              <c:numCache>
                <c:formatCode>0.0%</c:formatCode>
                <c:ptCount val="3"/>
                <c:pt idx="0">
                  <c:v>0.482274790785852</c:v>
                </c:pt>
                <c:pt idx="1">
                  <c:v>0.37679992951743</c:v>
                </c:pt>
                <c:pt idx="2">
                  <c:v>0.140925279696718</c:v>
                </c:pt>
              </c:numCache>
            </c:numRef>
          </c:val>
        </c:ser>
        <c:dLbls>
          <c:showLegendKey val="0"/>
          <c:showVal val="0"/>
          <c:showCatName val="0"/>
          <c:showSerName val="0"/>
          <c:showPercent val="0"/>
          <c:showBubbleSize val="0"/>
          <c:showLeaderLines val="1"/>
        </c:dLbls>
        <c:firstSliceAng val="45"/>
      </c:pieChart>
      <c:spPr>
        <a:noFill/>
        <a:ln w="12700">
          <a:noFill/>
        </a:ln>
      </c:spPr>
    </c:plotArea>
    <c:plotVisOnly val="1"/>
    <c:dispBlanksAs val="zero"/>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4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77765931432484"/>
          <c:y val="0.111183622047244"/>
          <c:w val="0.421415801285709"/>
          <c:h val="0.81417532808399"/>
        </c:manualLayout>
      </c:layout>
      <c:pieChart>
        <c:varyColors val="1"/>
        <c:ser>
          <c:idx val="0"/>
          <c:order val="0"/>
          <c:tx>
            <c:strRef>
              <c:f>Sheet1!$B$1</c:f>
              <c:strCache>
                <c:ptCount val="1"/>
                <c:pt idx="0">
                  <c:v>列2</c:v>
                </c:pt>
              </c:strCache>
            </c:strRef>
          </c:tx>
          <c:spPr>
            <a:solidFill>
              <a:srgbClr val="558ED5"/>
            </a:solidFill>
            <a:ln w="9525" cap="flat" cmpd="sng" algn="ctr">
              <a:solidFill>
                <a:srgbClr val="FFFFFF"/>
              </a:solidFill>
              <a:prstDash val="solid"/>
              <a:round/>
            </a:ln>
          </c:spPr>
          <c:explosion val="0"/>
          <c:dPt>
            <c:idx val="0"/>
            <c:bubble3D val="0"/>
            <c:spPr>
              <a:solidFill>
                <a:srgbClr val="558ED5"/>
              </a:solidFill>
              <a:ln w="9525" cap="flat" cmpd="sng" algn="ctr">
                <a:solidFill>
                  <a:srgbClr val="FFFFFF"/>
                </a:solidFill>
                <a:prstDash val="solid"/>
                <a:round/>
              </a:ln>
            </c:spPr>
          </c:dPt>
          <c:dPt>
            <c:idx val="1"/>
            <c:bubble3D val="0"/>
            <c:spPr>
              <a:solidFill>
                <a:srgbClr val="C6D9F1"/>
              </a:solidFill>
              <a:ln w="9525" cap="flat" cmpd="sng" algn="ctr">
                <a:solidFill>
                  <a:srgbClr val="FFFFFF"/>
                </a:solidFill>
                <a:prstDash val="solid"/>
                <a:round/>
              </a:ln>
            </c:spPr>
          </c:dPt>
          <c:dPt>
            <c:idx val="2"/>
            <c:bubble3D val="0"/>
            <c:spPr>
              <a:solidFill>
                <a:srgbClr val="4F81BD">
                  <a:lumMod val="60000"/>
                  <a:lumOff val="40000"/>
                </a:srgbClr>
              </a:solidFill>
              <a:ln w="9525" cap="flat" cmpd="sng" algn="ctr">
                <a:solidFill>
                  <a:srgbClr val="FFFFFF"/>
                </a:solidFill>
                <a:prstDash val="solid"/>
                <a:round/>
              </a:ln>
            </c:spPr>
          </c:dPt>
          <c:dLbls>
            <c:dLbl>
              <c:idx val="0"/>
              <c:layout>
                <c:manualLayout>
                  <c:x val="-0.0230299473435387"/>
                  <c:y val="-0.0284812598425198"/>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0407149106361705"/>
                  <c:y val="0.0918479790026246"/>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2"/>
              <c:layout>
                <c:manualLayout>
                  <c:x val="-0.0513757519440505"/>
                  <c:y val="0.0930994225721785"/>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spAutoFit/>
              </a:bodyPr>
              <a:lstStyle/>
              <a:p>
                <a:pPr>
                  <a:defRPr lang="zh-CN" sz="900" b="0" i="0" u="none" strike="noStrike" kern="1200" baseline="0">
                    <a:solidFill>
                      <a:schemeClr val="tx1"/>
                    </a:solidFill>
                    <a:latin typeface="Arial" panose="020B0604020202020204" pitchFamily="2" charset="0"/>
                    <a:ea typeface="黑体" panose="02010609060101010101" charset="-122"/>
                    <a:cs typeface="Arial" panose="020B0604020202020204" pitchFamily="2" charset="0"/>
                  </a:defRPr>
                </a:pPr>
              </a:p>
            </c:txPr>
            <c:dLblPos val="bestFit"/>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ext>
            </c:extLst>
          </c:dLbls>
          <c:cat>
            <c:strRef>
              <c:f>Sheet1!$A$2:$A$4</c:f>
              <c:strCache>
                <c:ptCount val="3"/>
                <c:pt idx="0">
                  <c:v>设置过</c:v>
                </c:pt>
                <c:pt idx="1">
                  <c:v>知道这个功能，但没设置过</c:v>
                </c:pt>
                <c:pt idx="2">
                  <c:v>不知道这个功能/不懂怎么上网</c:v>
                </c:pt>
              </c:strCache>
            </c:strRef>
          </c:cat>
          <c:val>
            <c:numRef>
              <c:f>Sheet1!$B$2:$B$4</c:f>
              <c:numCache>
                <c:formatCode>0.0%</c:formatCode>
                <c:ptCount val="3"/>
                <c:pt idx="0">
                  <c:v>0.472935119993943</c:v>
                </c:pt>
                <c:pt idx="1">
                  <c:v>0.443561208267091</c:v>
                </c:pt>
                <c:pt idx="2">
                  <c:v>0.0835036717389659</c:v>
                </c:pt>
              </c:numCache>
            </c:numRef>
          </c:val>
        </c:ser>
        <c:dLbls>
          <c:showLegendKey val="0"/>
          <c:showVal val="0"/>
          <c:showCatName val="0"/>
          <c:showSerName val="0"/>
          <c:showPercent val="0"/>
          <c:showBubbleSize val="0"/>
          <c:showLeaderLines val="1"/>
        </c:dLbls>
        <c:firstSliceAng val="45"/>
      </c:pieChart>
      <c:spPr>
        <a:noFill/>
        <a:ln w="12700">
          <a:noFill/>
        </a:ln>
      </c:spPr>
    </c:plotArea>
    <c:plotVisOnly val="1"/>
    <c:dispBlanksAs val="zero"/>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4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1"/>
    </mc:Choice>
    <mc:Fallback>
      <c:style val="11"/>
    </mc:Fallback>
  </mc:AlternateContent>
  <c:chart>
    <c:autoTitleDeleted val="1"/>
    <c:plotArea>
      <c:layout>
        <c:manualLayout>
          <c:layoutTarget val="inner"/>
          <c:xMode val="edge"/>
          <c:yMode val="edge"/>
          <c:x val="0.153176101214299"/>
          <c:y val="0.108120871508162"/>
          <c:w val="0.741607440913868"/>
          <c:h val="0.786618661514894"/>
        </c:manualLayout>
      </c:layout>
      <c:barChart>
        <c:barDir val="col"/>
        <c:grouping val="clustered"/>
        <c:varyColors val="0"/>
        <c:ser>
          <c:idx val="1"/>
          <c:order val="0"/>
          <c:tx>
            <c:strRef>
              <c:f>Sheet1!$B$1</c:f>
              <c:strCache>
                <c:ptCount val="1"/>
                <c:pt idx="0">
                  <c:v>2021年</c:v>
                </c:pt>
              </c:strCache>
            </c:strRef>
          </c:tx>
          <c:spPr>
            <a:solidFill>
              <a:srgbClr val="5B9BD5"/>
            </a:solidFill>
            <a:effectLst>
              <a:outerShdw blurRad="38100" dist="12700" dir="5400000" algn="tl" rotWithShape="0">
                <a:prstClr val="black">
                  <a:alpha val="40000"/>
                </a:prstClr>
              </a:outerShdw>
            </a:effectLst>
          </c:spPr>
          <c:invertIfNegative val="0"/>
          <c:dLbls>
            <c:dLbl>
              <c:idx val="0"/>
              <c:layout>
                <c:manualLayout>
                  <c:x val="-0.000534868625292806"/>
                  <c:y val="-4.6295761483715e-17"/>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设置过青少年模式</c:v>
                </c:pt>
                <c:pt idx="1">
                  <c:v>没设置过青少年模式</c:v>
                </c:pt>
              </c:strCache>
            </c:strRef>
          </c:cat>
          <c:val>
            <c:numRef>
              <c:f>Sheet1!$B$2:$B$3</c:f>
              <c:numCache>
                <c:formatCode>0.0%</c:formatCode>
                <c:ptCount val="2"/>
                <c:pt idx="0">
                  <c:v>0.126</c:v>
                </c:pt>
                <c:pt idx="1">
                  <c:v>0.311</c:v>
                </c:pt>
              </c:numCache>
            </c:numRef>
          </c:val>
        </c:ser>
        <c:dLbls>
          <c:showLegendKey val="0"/>
          <c:showVal val="1"/>
          <c:showCatName val="0"/>
          <c:showSerName val="0"/>
          <c:showPercent val="0"/>
          <c:showBubbleSize val="0"/>
        </c:dLbls>
        <c:gapWidth val="100"/>
        <c:axId val="421863808"/>
        <c:axId val="421865344"/>
      </c:barChart>
      <c:catAx>
        <c:axId val="421863808"/>
        <c:scaling>
          <c:orientation val="minMax"/>
        </c:scaling>
        <c:delete val="0"/>
        <c:axPos val="b"/>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mn-cs"/>
              </a:defRPr>
            </a:pPr>
          </a:p>
        </c:txPr>
        <c:crossAx val="421865344"/>
        <c:crosses val="autoZero"/>
        <c:auto val="1"/>
        <c:lblAlgn val="ctr"/>
        <c:lblOffset val="100"/>
        <c:tickLblSkip val="1"/>
        <c:noMultiLvlLbl val="0"/>
      </c:catAx>
      <c:valAx>
        <c:axId val="421865344"/>
        <c:scaling>
          <c:orientation val="minMax"/>
          <c:max val="0.500000000000001"/>
          <c:min val="0"/>
        </c:scaling>
        <c:delete val="0"/>
        <c:axPos val="l"/>
        <c:majorGridlines>
          <c:spPr>
            <a:ln w="6350" cap="flat" cmpd="sng" algn="ctr">
              <a:solidFill>
                <a:schemeClr val="bg1">
                  <a:lumMod val="85000"/>
                </a:schemeClr>
              </a:solidFill>
              <a:prstDash val="dash"/>
              <a:round/>
            </a:ln>
          </c:spPr>
        </c:majorGridlines>
        <c:numFmt formatCode="0%" sourceLinked="0"/>
        <c:majorTickMark val="in"/>
        <c:minorTickMark val="none"/>
        <c:tickLblPos val="nextTo"/>
        <c:spPr>
          <a:ln w="6350"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21863808"/>
        <c:crosses val="autoZero"/>
        <c:crossBetween val="between"/>
        <c:majorUnit val="0.1"/>
      </c:valAx>
      <c:spPr>
        <a:noFill/>
      </c:spPr>
    </c:plotArea>
    <c:plotVisOnly val="1"/>
    <c:dispBlanksAs val="gap"/>
    <c:showDLblsOverMax val="0"/>
  </c:chart>
  <c:spPr>
    <a:noFill/>
    <a:ln w="6350" cap="flat" cmpd="sng" algn="ctr">
      <a:noFill/>
      <a:prstDash val="solid"/>
      <a:round/>
    </a:ln>
  </c:spPr>
  <c:txPr>
    <a:bodyPr/>
    <a:lstStyle/>
    <a:p>
      <a:pPr>
        <a:defRPr lang="zh-CN">
          <a:latin typeface="微软雅黑" panose="020B0503020204020204" pitchFamily="34" charset="-122"/>
          <a:ea typeface="微软雅黑" panose="020B0503020204020204" pitchFamily="34" charset="-122"/>
        </a:defRPr>
      </a:pPr>
    </a:p>
  </c:txPr>
  <c:externalData r:id="rId1">
    <c:autoUpdate val="0"/>
  </c:externalData>
</c:chartSpace>
</file>

<file path=word/charts/chart4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1"/>
    </mc:Choice>
    <mc:Fallback>
      <c:style val="11"/>
    </mc:Fallback>
  </mc:AlternateContent>
  <c:chart>
    <c:autoTitleDeleted val="1"/>
    <c:plotArea>
      <c:layout>
        <c:manualLayout>
          <c:layoutTarget val="inner"/>
          <c:xMode val="edge"/>
          <c:yMode val="edge"/>
          <c:x val="0.153176101214299"/>
          <c:y val="0.078381094556489"/>
          <c:w val="0.741607440913868"/>
          <c:h val="0.79157529100684"/>
        </c:manualLayout>
      </c:layout>
      <c:barChart>
        <c:barDir val="col"/>
        <c:grouping val="clustered"/>
        <c:varyColors val="0"/>
        <c:ser>
          <c:idx val="1"/>
          <c:order val="0"/>
          <c:tx>
            <c:strRef>
              <c:f>Sheet1!$B$1</c:f>
              <c:strCache>
                <c:ptCount val="1"/>
                <c:pt idx="0">
                  <c:v>2021年</c:v>
                </c:pt>
              </c:strCache>
            </c:strRef>
          </c:tx>
          <c:spPr>
            <a:solidFill>
              <a:srgbClr val="5B9BD5"/>
            </a:solidFill>
            <a:effectLst>
              <a:outerShdw blurRad="38100" dist="12700" dir="5400000" algn="tl" rotWithShape="0">
                <a:prstClr val="black">
                  <a:alpha val="40000"/>
                </a:prstClr>
              </a:outerShdw>
            </a:effectLst>
          </c:spPr>
          <c:invertIfNegative val="0"/>
          <c:dLbls>
            <c:dLbl>
              <c:idx val="0"/>
              <c:layout>
                <c:manualLayout>
                  <c:x val="-0.000534868625292806"/>
                  <c:y val="-4.6295761483715e-17"/>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设置过青少年模式</c:v>
                </c:pt>
                <c:pt idx="1">
                  <c:v>没设置过青少年模式</c:v>
                </c:pt>
              </c:strCache>
            </c:strRef>
          </c:cat>
          <c:val>
            <c:numRef>
              <c:f>Sheet1!$B$2:$B$3</c:f>
              <c:numCache>
                <c:formatCode>0.0%</c:formatCode>
                <c:ptCount val="2"/>
                <c:pt idx="0">
                  <c:v>0.347340069494985</c:v>
                </c:pt>
                <c:pt idx="1">
                  <c:v>0.470100424499642</c:v>
                </c:pt>
              </c:numCache>
            </c:numRef>
          </c:val>
        </c:ser>
        <c:dLbls>
          <c:showLegendKey val="0"/>
          <c:showVal val="1"/>
          <c:showCatName val="0"/>
          <c:showSerName val="0"/>
          <c:showPercent val="0"/>
          <c:showBubbleSize val="0"/>
        </c:dLbls>
        <c:gapWidth val="100"/>
        <c:axId val="421863808"/>
        <c:axId val="421865344"/>
      </c:barChart>
      <c:catAx>
        <c:axId val="421863808"/>
        <c:scaling>
          <c:orientation val="minMax"/>
        </c:scaling>
        <c:delete val="0"/>
        <c:axPos val="b"/>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mn-cs"/>
              </a:defRPr>
            </a:pPr>
          </a:p>
        </c:txPr>
        <c:crossAx val="421865344"/>
        <c:crosses val="autoZero"/>
        <c:auto val="1"/>
        <c:lblAlgn val="ctr"/>
        <c:lblOffset val="100"/>
        <c:tickLblSkip val="1"/>
        <c:noMultiLvlLbl val="0"/>
      </c:catAx>
      <c:valAx>
        <c:axId val="421865344"/>
        <c:scaling>
          <c:orientation val="minMax"/>
          <c:max val="0.500000000000001"/>
          <c:min val="0"/>
        </c:scaling>
        <c:delete val="0"/>
        <c:axPos val="l"/>
        <c:majorGridlines>
          <c:spPr>
            <a:ln w="6350" cap="flat" cmpd="sng" algn="ctr">
              <a:solidFill>
                <a:schemeClr val="bg1">
                  <a:lumMod val="85000"/>
                </a:schemeClr>
              </a:solidFill>
              <a:prstDash val="dash"/>
              <a:round/>
            </a:ln>
          </c:spPr>
        </c:majorGridlines>
        <c:numFmt formatCode="0%" sourceLinked="0"/>
        <c:majorTickMark val="in"/>
        <c:minorTickMark val="none"/>
        <c:tickLblPos val="nextTo"/>
        <c:spPr>
          <a:ln w="6350"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21863808"/>
        <c:crosses val="autoZero"/>
        <c:crossBetween val="between"/>
        <c:majorUnit val="0.1"/>
      </c:valAx>
      <c:spPr>
        <a:noFill/>
      </c:spPr>
    </c:plotArea>
    <c:plotVisOnly val="1"/>
    <c:dispBlanksAs val="gap"/>
    <c:showDLblsOverMax val="0"/>
  </c:chart>
  <c:spPr>
    <a:noFill/>
    <a:ln w="6350" cap="flat" cmpd="sng" algn="ctr">
      <a:noFill/>
      <a:prstDash val="solid"/>
      <a:round/>
    </a:ln>
  </c:spPr>
  <c:txPr>
    <a:bodyPr/>
    <a:lstStyle/>
    <a:p>
      <a:pPr>
        <a:defRPr lang="zh-CN">
          <a:latin typeface="微软雅黑" panose="020B0503020204020204" pitchFamily="34" charset="-122"/>
          <a:ea typeface="微软雅黑" panose="020B0503020204020204" pitchFamily="34" charset="-122"/>
        </a:defRPr>
      </a:pPr>
    </a:p>
  </c:txPr>
  <c:externalData r:id="rId1">
    <c:autoUpdate val="0"/>
  </c:externalData>
</c:chartSpace>
</file>

<file path=word/charts/chart4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94329078430414"/>
          <c:y val="0.143183622047244"/>
          <c:w val="0.402092129788124"/>
          <c:h val="0.776841994750656"/>
        </c:manualLayout>
      </c:layout>
      <c:pieChart>
        <c:varyColors val="1"/>
        <c:ser>
          <c:idx val="0"/>
          <c:order val="0"/>
          <c:tx>
            <c:strRef>
              <c:f>Sheet1!$B$1</c:f>
              <c:strCache>
                <c:ptCount val="1"/>
                <c:pt idx="0">
                  <c:v>列2</c:v>
                </c:pt>
              </c:strCache>
            </c:strRef>
          </c:tx>
          <c:spPr>
            <a:solidFill>
              <a:srgbClr val="558ED5"/>
            </a:solidFill>
            <a:ln w="9525" cap="flat" cmpd="sng" algn="ctr">
              <a:solidFill>
                <a:srgbClr val="FFFFFF"/>
              </a:solidFill>
              <a:prstDash val="solid"/>
              <a:round/>
            </a:ln>
          </c:spPr>
          <c:explosion val="0"/>
          <c:dPt>
            <c:idx val="0"/>
            <c:bubble3D val="0"/>
            <c:spPr>
              <a:solidFill>
                <a:srgbClr val="558ED5"/>
              </a:solidFill>
              <a:ln w="9525" cap="flat" cmpd="sng" algn="ctr">
                <a:solidFill>
                  <a:srgbClr val="FFFFFF"/>
                </a:solidFill>
                <a:prstDash val="solid"/>
                <a:round/>
              </a:ln>
            </c:spPr>
          </c:dPt>
          <c:dPt>
            <c:idx val="1"/>
            <c:bubble3D val="0"/>
            <c:spPr>
              <a:solidFill>
                <a:srgbClr val="C6D9F1"/>
              </a:solidFill>
              <a:ln w="9525" cap="flat" cmpd="sng" algn="ctr">
                <a:solidFill>
                  <a:srgbClr val="FFFFFF"/>
                </a:solidFill>
                <a:prstDash val="solid"/>
                <a:round/>
              </a:ln>
            </c:spPr>
          </c:dPt>
          <c:dPt>
            <c:idx val="2"/>
            <c:bubble3D val="0"/>
            <c:spPr>
              <a:solidFill>
                <a:srgbClr val="4F81BD">
                  <a:lumMod val="60000"/>
                  <a:lumOff val="40000"/>
                </a:srgbClr>
              </a:solidFill>
              <a:ln w="9525" cap="flat" cmpd="sng" algn="ctr">
                <a:solidFill>
                  <a:srgbClr val="FFFFFF"/>
                </a:solidFill>
                <a:prstDash val="solid"/>
                <a:round/>
              </a:ln>
            </c:spPr>
          </c:dPt>
          <c:dPt>
            <c:idx val="3"/>
            <c:bubble3D val="0"/>
            <c:spPr>
              <a:solidFill>
                <a:srgbClr val="1F497D">
                  <a:lumMod val="40000"/>
                  <a:lumOff val="60000"/>
                </a:srgbClr>
              </a:solidFill>
              <a:ln w="9525" cap="flat" cmpd="sng" algn="ctr">
                <a:solidFill>
                  <a:srgbClr val="FFFFFF"/>
                </a:solidFill>
                <a:prstDash val="solid"/>
                <a:round/>
              </a:ln>
            </c:spPr>
          </c:dPt>
          <c:dLbls>
            <c:dLbl>
              <c:idx val="0"/>
              <c:layout>
                <c:manualLayout>
                  <c:x val="-0.0511620830004945"/>
                  <c:y val="-0.150450393700787"/>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030542486537009"/>
                  <c:y val="-0.00669312335958015"/>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2"/>
              <c:layout>
                <c:manualLayout>
                  <c:x val="-0.0139219554077479"/>
                  <c:y val="0.131686719160105"/>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3"/>
              <c:layout>
                <c:manualLayout>
                  <c:x val="-0.0459599071855149"/>
                  <c:y val="0.0839038320209974"/>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Arial" panose="020B0604020202020204" pitchFamily="2" charset="0"/>
                    <a:ea typeface="黑体" panose="02010609060101010101" charset="-122"/>
                    <a:cs typeface="Arial" panose="020B0604020202020204" pitchFamily="2" charset="0"/>
                  </a:defRPr>
                </a:pPr>
              </a:p>
            </c:txPr>
            <c:dLblPos val="bestFit"/>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ext>
            </c:extLst>
          </c:dLbls>
          <c:cat>
            <c:strRef>
              <c:f>Sheet1!$A$2:$A$5</c:f>
              <c:strCache>
                <c:ptCount val="4"/>
                <c:pt idx="0">
                  <c:v>满意</c:v>
                </c:pt>
                <c:pt idx="1">
                  <c:v>一般</c:v>
                </c:pt>
                <c:pt idx="2">
                  <c:v>不满意</c:v>
                </c:pt>
                <c:pt idx="3">
                  <c:v>不知道是什么/没想过这个问题</c:v>
                </c:pt>
              </c:strCache>
            </c:strRef>
          </c:cat>
          <c:val>
            <c:numRef>
              <c:f>Sheet1!$B$2:$B$5</c:f>
              <c:numCache>
                <c:formatCode>0.0%</c:formatCode>
                <c:ptCount val="4"/>
                <c:pt idx="0">
                  <c:v>0.344100512551468</c:v>
                </c:pt>
                <c:pt idx="1">
                  <c:v>0.336481028024353</c:v>
                </c:pt>
                <c:pt idx="2">
                  <c:v>0.104713702747679</c:v>
                </c:pt>
                <c:pt idx="3">
                  <c:v>0.2147047566765</c:v>
                </c:pt>
              </c:numCache>
            </c:numRef>
          </c:val>
        </c:ser>
        <c:dLbls>
          <c:showLegendKey val="0"/>
          <c:showVal val="0"/>
          <c:showCatName val="0"/>
          <c:showSerName val="0"/>
          <c:showPercent val="0"/>
          <c:showBubbleSize val="0"/>
          <c:showLeaderLines val="1"/>
        </c:dLbls>
        <c:firstSliceAng val="45"/>
      </c:pieChart>
      <c:spPr>
        <a:noFill/>
        <a:ln w="12700">
          <a:noFill/>
        </a:ln>
      </c:spPr>
    </c:plotArea>
    <c:plotVisOnly val="1"/>
    <c:dispBlanksAs val="zero"/>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4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97089602930069"/>
          <c:y val="0.148516955380577"/>
          <c:w val="0.38828950728985"/>
          <c:h val="0.750175328083989"/>
        </c:manualLayout>
      </c:layout>
      <c:pieChart>
        <c:varyColors val="1"/>
        <c:ser>
          <c:idx val="0"/>
          <c:order val="0"/>
          <c:tx>
            <c:strRef>
              <c:f>Sheet1!$B$1</c:f>
              <c:strCache>
                <c:ptCount val="1"/>
                <c:pt idx="0">
                  <c:v>列2</c:v>
                </c:pt>
              </c:strCache>
            </c:strRef>
          </c:tx>
          <c:spPr>
            <a:solidFill>
              <a:srgbClr val="558ED5"/>
            </a:solidFill>
            <a:ln w="9525" cap="flat" cmpd="sng" algn="ctr">
              <a:solidFill>
                <a:srgbClr val="FFFFFF"/>
              </a:solidFill>
              <a:prstDash val="solid"/>
              <a:round/>
            </a:ln>
          </c:spPr>
          <c:explosion val="0"/>
          <c:dPt>
            <c:idx val="0"/>
            <c:bubble3D val="0"/>
            <c:spPr>
              <a:solidFill>
                <a:srgbClr val="558ED5"/>
              </a:solidFill>
              <a:ln w="9525" cap="flat" cmpd="sng" algn="ctr">
                <a:solidFill>
                  <a:srgbClr val="FFFFFF"/>
                </a:solidFill>
                <a:prstDash val="solid"/>
                <a:round/>
              </a:ln>
            </c:spPr>
          </c:dPt>
          <c:dPt>
            <c:idx val="1"/>
            <c:bubble3D val="0"/>
            <c:spPr>
              <a:solidFill>
                <a:srgbClr val="C6D9F1"/>
              </a:solidFill>
              <a:ln w="9525" cap="flat" cmpd="sng" algn="ctr">
                <a:solidFill>
                  <a:srgbClr val="FFFFFF"/>
                </a:solidFill>
                <a:prstDash val="solid"/>
                <a:round/>
              </a:ln>
            </c:spPr>
          </c:dPt>
          <c:dPt>
            <c:idx val="2"/>
            <c:bubble3D val="0"/>
            <c:spPr>
              <a:solidFill>
                <a:srgbClr val="4F81BD">
                  <a:lumMod val="60000"/>
                  <a:lumOff val="40000"/>
                </a:srgbClr>
              </a:solidFill>
              <a:ln w="9525" cap="flat" cmpd="sng" algn="ctr">
                <a:solidFill>
                  <a:srgbClr val="FFFFFF"/>
                </a:solidFill>
                <a:prstDash val="solid"/>
                <a:round/>
              </a:ln>
            </c:spPr>
          </c:dPt>
          <c:dLbls>
            <c:dLbl>
              <c:idx val="0"/>
              <c:layout>
                <c:manualLayout>
                  <c:x val="-0.0230299473435387"/>
                  <c:y val="-0.0284812598425198"/>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0324333371372056"/>
                  <c:y val="-0.132152020997375"/>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2"/>
              <c:layout>
                <c:manualLayout>
                  <c:x val="-0.0513757519440505"/>
                  <c:y val="0.0824327559055118"/>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spAutoFit/>
              </a:bodyPr>
              <a:lstStyle/>
              <a:p>
                <a:pPr>
                  <a:defRPr lang="zh-CN" sz="900" b="0" i="0" u="none" strike="noStrike" kern="1200" baseline="0">
                    <a:solidFill>
                      <a:schemeClr val="tx1"/>
                    </a:solidFill>
                    <a:latin typeface="Arial" panose="020B0604020202020204" pitchFamily="2" charset="0"/>
                    <a:ea typeface="黑体" panose="02010609060101010101" charset="-122"/>
                    <a:cs typeface="Arial" panose="020B0604020202020204" pitchFamily="2" charset="0"/>
                  </a:defRPr>
                </a:pPr>
              </a:p>
            </c:txPr>
            <c:dLblPos val="bestFit"/>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ext>
            </c:extLst>
          </c:dLbls>
          <c:cat>
            <c:strRef>
              <c:f>Sheet1!$A$2:$A$4</c:f>
              <c:strCache>
                <c:ptCount val="3"/>
                <c:pt idx="0">
                  <c:v>有效</c:v>
                </c:pt>
                <c:pt idx="1">
                  <c:v>一般/不太有效</c:v>
                </c:pt>
                <c:pt idx="2">
                  <c:v>没想过这个问题/不懂网络</c:v>
                </c:pt>
              </c:strCache>
            </c:strRef>
          </c:cat>
          <c:val>
            <c:numRef>
              <c:f>Sheet1!$B$2:$B$4</c:f>
              <c:numCache>
                <c:formatCode>0.0%</c:formatCode>
                <c:ptCount val="3"/>
                <c:pt idx="0">
                  <c:v>0.403891286244227</c:v>
                </c:pt>
                <c:pt idx="1">
                  <c:v>0.41</c:v>
                </c:pt>
                <c:pt idx="2">
                  <c:v>0.186160950866833</c:v>
                </c:pt>
              </c:numCache>
            </c:numRef>
          </c:val>
        </c:ser>
        <c:dLbls>
          <c:showLegendKey val="0"/>
          <c:showVal val="0"/>
          <c:showCatName val="0"/>
          <c:showSerName val="0"/>
          <c:showPercent val="0"/>
          <c:showBubbleSize val="0"/>
          <c:showLeaderLines val="1"/>
        </c:dLbls>
        <c:firstSliceAng val="45"/>
      </c:pieChart>
      <c:spPr>
        <a:noFill/>
        <a:ln w="12700">
          <a:noFill/>
        </a:ln>
      </c:spPr>
    </c:plotArea>
    <c:plotVisOnly val="1"/>
    <c:dispBlanksAs val="zero"/>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4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86047504931449"/>
          <c:y val="0.116516955380577"/>
          <c:w val="0.37172636029192"/>
          <c:h val="0.71817532808399"/>
        </c:manualLayout>
      </c:layout>
      <c:pieChart>
        <c:varyColors val="1"/>
        <c:ser>
          <c:idx val="0"/>
          <c:order val="0"/>
          <c:tx>
            <c:strRef>
              <c:f>Sheet1!$B$1</c:f>
              <c:strCache>
                <c:ptCount val="1"/>
                <c:pt idx="0">
                  <c:v>列2</c:v>
                </c:pt>
              </c:strCache>
            </c:strRef>
          </c:tx>
          <c:spPr>
            <a:solidFill>
              <a:srgbClr val="558ED5"/>
            </a:solidFill>
            <a:ln w="9525" cap="flat" cmpd="sng" algn="ctr">
              <a:solidFill>
                <a:srgbClr val="FFFFFF"/>
              </a:solidFill>
              <a:prstDash val="solid"/>
              <a:round/>
            </a:ln>
          </c:spPr>
          <c:explosion val="0"/>
          <c:dPt>
            <c:idx val="0"/>
            <c:bubble3D val="0"/>
            <c:spPr>
              <a:solidFill>
                <a:srgbClr val="558ED5"/>
              </a:solidFill>
              <a:ln w="9525" cap="flat" cmpd="sng" algn="ctr">
                <a:solidFill>
                  <a:srgbClr val="FFFFFF"/>
                </a:solidFill>
                <a:prstDash val="solid"/>
                <a:round/>
              </a:ln>
            </c:spPr>
          </c:dPt>
          <c:dPt>
            <c:idx val="1"/>
            <c:bubble3D val="0"/>
            <c:spPr>
              <a:solidFill>
                <a:srgbClr val="C6D9F1"/>
              </a:solidFill>
              <a:ln w="9525" cap="flat" cmpd="sng" algn="ctr">
                <a:solidFill>
                  <a:srgbClr val="FFFFFF"/>
                </a:solidFill>
                <a:prstDash val="solid"/>
                <a:round/>
              </a:ln>
            </c:spPr>
          </c:dPt>
          <c:dPt>
            <c:idx val="2"/>
            <c:bubble3D val="0"/>
            <c:spPr>
              <a:solidFill>
                <a:srgbClr val="4F81BD">
                  <a:lumMod val="60000"/>
                  <a:lumOff val="40000"/>
                </a:srgbClr>
              </a:solidFill>
              <a:ln w="9525" cap="flat" cmpd="sng" algn="ctr">
                <a:solidFill>
                  <a:srgbClr val="FFFFFF"/>
                </a:solidFill>
                <a:prstDash val="solid"/>
                <a:round/>
              </a:ln>
            </c:spPr>
          </c:dPt>
          <c:dLbls>
            <c:dLbl>
              <c:idx val="0"/>
              <c:layout>
                <c:manualLayout>
                  <c:x val="-0.0119878493449188"/>
                  <c:y val="-0.113814593175853"/>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0821227781309945"/>
                  <c:y val="0.113181312335958"/>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2"/>
              <c:layout>
                <c:manualLayout>
                  <c:x val="-0.0292915559468111"/>
                  <c:y val="0.0450994225721784"/>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spAutoFit/>
              </a:bodyPr>
              <a:lstStyle/>
              <a:p>
                <a:pPr>
                  <a:defRPr lang="zh-CN" sz="900" b="0" i="0" u="none" strike="noStrike" kern="1200" baseline="0">
                    <a:solidFill>
                      <a:schemeClr val="tx1"/>
                    </a:solidFill>
                    <a:latin typeface="Arial" panose="020B0604020202020204" pitchFamily="2" charset="0"/>
                    <a:ea typeface="黑体" panose="02010609060101010101" charset="-122"/>
                    <a:cs typeface="Arial" panose="020B0604020202020204" pitchFamily="2" charset="0"/>
                  </a:defRPr>
                </a:pPr>
              </a:p>
            </c:txPr>
            <c:dLblPos val="bestFit"/>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ext>
            </c:extLst>
          </c:dLbls>
          <c:cat>
            <c:strRef>
              <c:f>Sheet1!$A$2:$A$4</c:f>
              <c:strCache>
                <c:ptCount val="3"/>
                <c:pt idx="0">
                  <c:v>有效</c:v>
                </c:pt>
                <c:pt idx="1">
                  <c:v>一般/不太有效</c:v>
                </c:pt>
                <c:pt idx="2">
                  <c:v>没想过这个问题</c:v>
                </c:pt>
              </c:strCache>
            </c:strRef>
          </c:cat>
          <c:val>
            <c:numRef>
              <c:f>Sheet1!$B$2:$B$4</c:f>
              <c:numCache>
                <c:formatCode>0.0%</c:formatCode>
                <c:ptCount val="3"/>
                <c:pt idx="0">
                  <c:v>0.489858635525507</c:v>
                </c:pt>
                <c:pt idx="1">
                  <c:v>0.461585740626921</c:v>
                </c:pt>
                <c:pt idx="2">
                  <c:v>0.0485556238475722</c:v>
                </c:pt>
              </c:numCache>
            </c:numRef>
          </c:val>
        </c:ser>
        <c:dLbls>
          <c:showLegendKey val="0"/>
          <c:showVal val="0"/>
          <c:showCatName val="0"/>
          <c:showSerName val="0"/>
          <c:showPercent val="0"/>
          <c:showBubbleSize val="0"/>
          <c:showLeaderLines val="1"/>
        </c:dLbls>
        <c:firstSliceAng val="45"/>
      </c:pieChart>
      <c:spPr>
        <a:noFill/>
        <a:ln w="12700">
          <a:noFill/>
        </a:ln>
      </c:spPr>
    </c:plotArea>
    <c:plotVisOnly val="1"/>
    <c:dispBlanksAs val="zero"/>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4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86047504931449"/>
          <c:y val="0.105850288713911"/>
          <c:w val="0.421415801285709"/>
          <c:h val="0.81417532808399"/>
        </c:manualLayout>
      </c:layout>
      <c:pieChart>
        <c:varyColors val="1"/>
        <c:ser>
          <c:idx val="0"/>
          <c:order val="0"/>
          <c:tx>
            <c:strRef>
              <c:f>Sheet1!$B$1</c:f>
              <c:strCache>
                <c:ptCount val="1"/>
                <c:pt idx="0">
                  <c:v>列2</c:v>
                </c:pt>
              </c:strCache>
            </c:strRef>
          </c:tx>
          <c:spPr>
            <a:solidFill>
              <a:srgbClr val="558ED5"/>
            </a:solidFill>
            <a:ln w="9525" cap="flat" cmpd="sng" algn="ctr">
              <a:solidFill>
                <a:srgbClr val="FFFFFF"/>
              </a:solidFill>
              <a:prstDash val="solid"/>
              <a:round/>
            </a:ln>
          </c:spPr>
          <c:explosion val="0"/>
          <c:dPt>
            <c:idx val="0"/>
            <c:bubble3D val="0"/>
            <c:spPr>
              <a:solidFill>
                <a:srgbClr val="558ED5"/>
              </a:solidFill>
              <a:ln w="9525" cap="flat" cmpd="sng" algn="ctr">
                <a:solidFill>
                  <a:srgbClr val="FFFFFF"/>
                </a:solidFill>
                <a:prstDash val="solid"/>
                <a:round/>
              </a:ln>
            </c:spPr>
          </c:dPt>
          <c:dPt>
            <c:idx val="1"/>
            <c:bubble3D val="0"/>
            <c:spPr>
              <a:solidFill>
                <a:srgbClr val="C6D9F1"/>
              </a:solidFill>
              <a:ln w="9525" cap="flat" cmpd="sng" algn="ctr">
                <a:solidFill>
                  <a:srgbClr val="FFFFFF"/>
                </a:solidFill>
                <a:prstDash val="solid"/>
                <a:round/>
              </a:ln>
            </c:spPr>
          </c:dPt>
          <c:dPt>
            <c:idx val="2"/>
            <c:bubble3D val="0"/>
            <c:spPr>
              <a:solidFill>
                <a:srgbClr val="4F81BD">
                  <a:lumMod val="60000"/>
                  <a:lumOff val="40000"/>
                </a:srgbClr>
              </a:solidFill>
              <a:ln w="9525" cap="flat" cmpd="sng" algn="ctr">
                <a:solidFill>
                  <a:srgbClr val="FFFFFF"/>
                </a:solidFill>
                <a:prstDash val="solid"/>
                <a:round/>
              </a:ln>
            </c:spPr>
          </c:dPt>
          <c:dLbls>
            <c:dLbl>
              <c:idx val="0"/>
              <c:layout>
                <c:manualLayout>
                  <c:x val="-0.119648304831461"/>
                  <c:y val="-0.181333333333333"/>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0821227781309945"/>
                  <c:y val="0.181333333333333"/>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2"/>
              <c:layout>
                <c:manualLayout>
                  <c:x val="-0.0375731294457759"/>
                  <c:y val="0.0717660892388451"/>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spAutoFit/>
              </a:bodyPr>
              <a:lstStyle/>
              <a:p>
                <a:pPr>
                  <a:defRPr lang="zh-CN" sz="900" b="0" i="0" u="none" strike="noStrike" kern="1200" baseline="0">
                    <a:solidFill>
                      <a:schemeClr val="tx1"/>
                    </a:solidFill>
                    <a:latin typeface="Arial" panose="020B0604020202020204" pitchFamily="2" charset="0"/>
                    <a:ea typeface="黑体" panose="02010609060101010101" charset="-122"/>
                    <a:cs typeface="Arial" panose="020B0604020202020204" pitchFamily="2" charset="0"/>
                  </a:defRPr>
                </a:pPr>
              </a:p>
            </c:txPr>
            <c:dLblPos val="bestFit"/>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ext>
            </c:extLst>
          </c:dLbls>
          <c:cat>
            <c:strRef>
              <c:f>Sheet1!$A$2:$A$4</c:f>
              <c:strCache>
                <c:ptCount val="3"/>
                <c:pt idx="0">
                  <c:v>我可以熟练地使用互联网</c:v>
                </c:pt>
                <c:pt idx="1">
                  <c:v>我对互联网懂得不多，主要在网上玩游戏、看短视频</c:v>
                </c:pt>
                <c:pt idx="2">
                  <c:v>我不会上网</c:v>
                </c:pt>
              </c:strCache>
            </c:strRef>
          </c:cat>
          <c:val>
            <c:numRef>
              <c:f>Sheet1!$B$2:$B$4</c:f>
              <c:numCache>
                <c:formatCode>0.0%</c:formatCode>
                <c:ptCount val="3"/>
                <c:pt idx="0">
                  <c:v>0.6577324297571</c:v>
                </c:pt>
                <c:pt idx="1">
                  <c:v>0.268255539480697</c:v>
                </c:pt>
                <c:pt idx="2">
                  <c:v>0.0740120307622021</c:v>
                </c:pt>
              </c:numCache>
            </c:numRef>
          </c:val>
        </c:ser>
        <c:dLbls>
          <c:showLegendKey val="0"/>
          <c:showVal val="0"/>
          <c:showCatName val="0"/>
          <c:showSerName val="0"/>
          <c:showPercent val="0"/>
          <c:showBubbleSize val="0"/>
          <c:showLeaderLines val="1"/>
        </c:dLbls>
        <c:firstSliceAng val="45"/>
      </c:pieChart>
      <c:spPr>
        <a:noFill/>
        <a:ln w="12700">
          <a:noFill/>
        </a:ln>
      </c:spPr>
    </c:plotArea>
    <c:plotVisOnly val="1"/>
    <c:dispBlanksAs val="zero"/>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4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88808029431104"/>
          <c:y val="0.111183622047244"/>
          <c:w val="0.418655276786054"/>
          <c:h val="0.808841994750656"/>
        </c:manualLayout>
      </c:layout>
      <c:pieChart>
        <c:varyColors val="1"/>
        <c:ser>
          <c:idx val="0"/>
          <c:order val="0"/>
          <c:tx>
            <c:strRef>
              <c:f>Sheet1!$B$1</c:f>
              <c:strCache>
                <c:ptCount val="1"/>
                <c:pt idx="0">
                  <c:v>列2</c:v>
                </c:pt>
              </c:strCache>
            </c:strRef>
          </c:tx>
          <c:spPr>
            <a:solidFill>
              <a:srgbClr val="558ED5"/>
            </a:solidFill>
            <a:ln w="9525" cap="flat" cmpd="sng" algn="ctr">
              <a:solidFill>
                <a:srgbClr val="FFFFFF"/>
              </a:solidFill>
              <a:prstDash val="solid"/>
              <a:round/>
            </a:ln>
          </c:spPr>
          <c:explosion val="0"/>
          <c:dPt>
            <c:idx val="0"/>
            <c:bubble3D val="0"/>
            <c:spPr>
              <a:solidFill>
                <a:srgbClr val="558ED5"/>
              </a:solidFill>
              <a:ln w="9525" cap="flat" cmpd="sng" algn="ctr">
                <a:solidFill>
                  <a:srgbClr val="FFFFFF"/>
                </a:solidFill>
                <a:prstDash val="solid"/>
                <a:round/>
              </a:ln>
            </c:spPr>
          </c:dPt>
          <c:dPt>
            <c:idx val="1"/>
            <c:bubble3D val="0"/>
            <c:spPr>
              <a:solidFill>
                <a:srgbClr val="C6D9F1"/>
              </a:solidFill>
              <a:ln w="9525" cap="flat" cmpd="sng" algn="ctr">
                <a:solidFill>
                  <a:srgbClr val="FFFFFF"/>
                </a:solidFill>
                <a:prstDash val="solid"/>
                <a:round/>
              </a:ln>
            </c:spPr>
          </c:dPt>
          <c:dPt>
            <c:idx val="2"/>
            <c:bubble3D val="0"/>
            <c:spPr>
              <a:solidFill>
                <a:srgbClr val="4F81BD">
                  <a:lumMod val="60000"/>
                  <a:lumOff val="40000"/>
                </a:srgbClr>
              </a:solidFill>
              <a:ln w="9525" cap="flat" cmpd="sng" algn="ctr">
                <a:solidFill>
                  <a:srgbClr val="FFFFFF"/>
                </a:solidFill>
                <a:prstDash val="solid"/>
                <a:round/>
              </a:ln>
            </c:spPr>
          </c:dPt>
          <c:dLbls>
            <c:dLbl>
              <c:idx val="0"/>
              <c:layout>
                <c:manualLayout>
                  <c:x val="-0.105845682333187"/>
                  <c:y val="-0.192"/>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0738412046320297"/>
                  <c:y val="0.170666666666667"/>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2"/>
              <c:layout>
                <c:manualLayout>
                  <c:x val="-0.0734599479412899"/>
                  <c:y val="0.0984327559055118"/>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spAutoFit/>
              </a:bodyPr>
              <a:lstStyle/>
              <a:p>
                <a:pPr>
                  <a:defRPr lang="zh-CN" sz="900" b="0" i="0" u="none" strike="noStrike" kern="1200" baseline="0">
                    <a:solidFill>
                      <a:schemeClr val="tx1"/>
                    </a:solidFill>
                    <a:latin typeface="Arial" panose="020B0604020202020204" pitchFamily="2" charset="0"/>
                    <a:ea typeface="黑体" panose="02010609060101010101" charset="-122"/>
                    <a:cs typeface="Arial" panose="020B0604020202020204" pitchFamily="2" charset="0"/>
                  </a:defRPr>
                </a:pPr>
              </a:p>
            </c:txPr>
            <c:dLblPos val="bestFit"/>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ext>
            </c:extLst>
          </c:dLbls>
          <c:cat>
            <c:strRef>
              <c:f>Sheet1!$A$2:$A$4</c:f>
              <c:strCache>
                <c:ptCount val="3"/>
                <c:pt idx="0">
                  <c:v>不存在依赖心理</c:v>
                </c:pt>
                <c:pt idx="1">
                  <c:v>存在依赖心理，闲下来不上网会觉得不舒服</c:v>
                </c:pt>
                <c:pt idx="2">
                  <c:v>我不会上网/没想过这个问题</c:v>
                </c:pt>
              </c:strCache>
            </c:strRef>
          </c:cat>
          <c:val>
            <c:numRef>
              <c:f>Sheet1!$B$2:$B$4</c:f>
              <c:numCache>
                <c:formatCode>0.0%</c:formatCode>
                <c:ptCount val="3"/>
                <c:pt idx="0">
                  <c:v>0.625361766945925</c:v>
                </c:pt>
                <c:pt idx="1">
                  <c:v>0.253008377760853</c:v>
                </c:pt>
                <c:pt idx="2">
                  <c:v>0.122</c:v>
                </c:pt>
              </c:numCache>
            </c:numRef>
          </c:val>
        </c:ser>
        <c:dLbls>
          <c:showLegendKey val="0"/>
          <c:showVal val="0"/>
          <c:showCatName val="0"/>
          <c:showSerName val="0"/>
          <c:showPercent val="0"/>
          <c:showBubbleSize val="0"/>
          <c:showLeaderLines val="1"/>
        </c:dLbls>
        <c:firstSliceAng val="45"/>
      </c:pieChart>
      <c:spPr>
        <a:noFill/>
        <a:ln w="12700">
          <a:noFill/>
        </a:ln>
      </c:spPr>
    </c:plotArea>
    <c:plotVisOnly val="1"/>
    <c:dispBlanksAs val="zero"/>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4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75005406932829"/>
          <c:y val="0.105850288713911"/>
          <c:w val="0.429697374784674"/>
          <c:h val="0.83017532808399"/>
        </c:manualLayout>
      </c:layout>
      <c:pieChart>
        <c:varyColors val="1"/>
        <c:ser>
          <c:idx val="0"/>
          <c:order val="0"/>
          <c:tx>
            <c:strRef>
              <c:f>Sheet1!$B$1</c:f>
              <c:strCache>
                <c:ptCount val="1"/>
                <c:pt idx="0">
                  <c:v>列2</c:v>
                </c:pt>
              </c:strCache>
            </c:strRef>
          </c:tx>
          <c:spPr>
            <a:solidFill>
              <a:srgbClr val="558ED5"/>
            </a:solidFill>
            <a:ln w="9525" cap="flat" cmpd="sng" algn="ctr">
              <a:solidFill>
                <a:srgbClr val="FFFFFF"/>
              </a:solidFill>
              <a:prstDash val="solid"/>
              <a:round/>
            </a:ln>
          </c:spPr>
          <c:explosion val="0"/>
          <c:dPt>
            <c:idx val="0"/>
            <c:bubble3D val="0"/>
            <c:spPr>
              <a:solidFill>
                <a:srgbClr val="558ED5"/>
              </a:solidFill>
              <a:ln w="9525" cap="flat" cmpd="sng" algn="ctr">
                <a:solidFill>
                  <a:srgbClr val="FFFFFF"/>
                </a:solidFill>
                <a:prstDash val="solid"/>
                <a:round/>
              </a:ln>
            </c:spPr>
          </c:dPt>
          <c:dPt>
            <c:idx val="1"/>
            <c:bubble3D val="0"/>
            <c:spPr>
              <a:solidFill>
                <a:srgbClr val="C6D9F1"/>
              </a:solidFill>
              <a:ln w="9525" cap="flat" cmpd="sng" algn="ctr">
                <a:solidFill>
                  <a:srgbClr val="FFFFFF"/>
                </a:solidFill>
                <a:prstDash val="solid"/>
                <a:round/>
              </a:ln>
            </c:spPr>
          </c:dPt>
          <c:dLbls>
            <c:dLbl>
              <c:idx val="0"/>
              <c:layout>
                <c:manualLayout>
                  <c:x val="0.0432226406481798"/>
                  <c:y val="-0.183147926509186"/>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0807481673486467"/>
                  <c:y val="0.145697427821522"/>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spAutoFit/>
              </a:bodyPr>
              <a:lstStyle/>
              <a:p>
                <a:pPr>
                  <a:defRPr lang="zh-CN" sz="900" b="0" i="0" u="none" strike="noStrike" kern="1200" baseline="0">
                    <a:solidFill>
                      <a:schemeClr val="tx1"/>
                    </a:solidFill>
                    <a:latin typeface="Arial" panose="020B0604020202020204" pitchFamily="2" charset="0"/>
                    <a:ea typeface="黑体" panose="02010609060101010101" charset="-122"/>
                    <a:cs typeface="Arial" panose="020B0604020202020204" pitchFamily="2" charset="0"/>
                  </a:defRPr>
                </a:pPr>
              </a:p>
            </c:txPr>
            <c:dLblPos val="bestFit"/>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ext>
            </c:extLst>
          </c:dLbls>
          <c:cat>
            <c:strRef>
              <c:f>Sheet1!$A$2:$A$3</c:f>
              <c:strCache>
                <c:ptCount val="2"/>
                <c:pt idx="0">
                  <c:v>想到过</c:v>
                </c:pt>
                <c:pt idx="1">
                  <c:v>没想过这个问题</c:v>
                </c:pt>
              </c:strCache>
            </c:strRef>
          </c:cat>
          <c:val>
            <c:numRef>
              <c:f>Sheet1!$B$2:$B$3</c:f>
              <c:numCache>
                <c:formatCode>0.0%</c:formatCode>
                <c:ptCount val="2"/>
                <c:pt idx="0">
                  <c:v>0.719227857683573</c:v>
                </c:pt>
                <c:pt idx="1">
                  <c:v>0.280772142316427</c:v>
                </c:pt>
              </c:numCache>
            </c:numRef>
          </c:val>
        </c:ser>
        <c:dLbls>
          <c:showLegendKey val="0"/>
          <c:showVal val="0"/>
          <c:showCatName val="0"/>
          <c:showSerName val="0"/>
          <c:showPercent val="0"/>
          <c:showBubbleSize val="0"/>
          <c:showLeaderLines val="1"/>
        </c:dLbls>
        <c:firstSliceAng val="90"/>
      </c:pieChart>
      <c:spPr>
        <a:noFill/>
        <a:ln w="12700">
          <a:noFill/>
        </a:ln>
      </c:spPr>
    </c:plotArea>
    <c:plotVisOnly val="1"/>
    <c:dispBlanksAs val="zero"/>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4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28762728716361"/>
          <c:y val="0.115226243681094"/>
          <c:w val="0.833736976773774"/>
          <c:h val="0.765006038155937"/>
        </c:manualLayout>
      </c:layout>
      <c:barChart>
        <c:barDir val="bar"/>
        <c:grouping val="clustered"/>
        <c:varyColors val="0"/>
        <c:ser>
          <c:idx val="0"/>
          <c:order val="0"/>
          <c:tx>
            <c:strRef>
              <c:f>Sheet1!$B$1</c:f>
              <c:strCache>
                <c:ptCount val="1"/>
                <c:pt idx="0">
                  <c:v>2020年</c:v>
                </c:pt>
              </c:strCache>
            </c:strRef>
          </c:tx>
          <c:spPr>
            <a:solidFill>
              <a:srgbClr val="5B9BD5"/>
            </a:solidFill>
          </c:spPr>
          <c:invertIfNegative val="0"/>
          <c:dLbls>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Sheet1!$A$2:$A$6</c:f>
              <c:strCache>
                <c:ptCount val="5"/>
                <c:pt idx="0">
                  <c:v>账号密码被盗</c:v>
                </c:pt>
                <c:pt idx="1">
                  <c:v>电脑或手机中病毒</c:v>
                </c:pt>
                <c:pt idx="2">
                  <c:v>网上诈骗</c:v>
                </c:pt>
                <c:pt idx="3">
                  <c:v>个人信息泄露</c:v>
                </c:pt>
                <c:pt idx="4">
                  <c:v>以上均无</c:v>
                </c:pt>
              </c:strCache>
            </c:strRef>
          </c:cat>
          <c:val>
            <c:numRef>
              <c:f>Sheet1!$B$2:$B$6</c:f>
              <c:numCache>
                <c:formatCode>0.0%</c:formatCode>
                <c:ptCount val="5"/>
                <c:pt idx="0">
                  <c:v>0.132645932769799</c:v>
                </c:pt>
                <c:pt idx="1">
                  <c:v>0.110707769222906</c:v>
                </c:pt>
                <c:pt idx="2">
                  <c:v>0.100338350097823</c:v>
                </c:pt>
                <c:pt idx="3">
                  <c:v>0.0550380471982221</c:v>
                </c:pt>
                <c:pt idx="4">
                  <c:v>0.728224821070267</c:v>
                </c:pt>
              </c:numCache>
            </c:numRef>
          </c:val>
        </c:ser>
        <c:ser>
          <c:idx val="1"/>
          <c:order val="1"/>
          <c:tx>
            <c:strRef>
              <c:f>Sheet1!$C$1</c:f>
              <c:strCache>
                <c:ptCount val="1"/>
                <c:pt idx="0">
                  <c:v>2021年</c:v>
                </c:pt>
              </c:strCache>
            </c:strRef>
          </c:tx>
          <c:spPr>
            <a:solidFill>
              <a:srgbClr val="FF0000">
                <a:alpha val="70000"/>
              </a:srgbClr>
            </a:solidFill>
          </c:spPr>
          <c:invertIfNegative val="0"/>
          <c:dLbls>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Sheet1!$A$2:$A$6</c:f>
              <c:strCache>
                <c:ptCount val="5"/>
                <c:pt idx="0">
                  <c:v>账号密码被盗</c:v>
                </c:pt>
                <c:pt idx="1">
                  <c:v>电脑或手机中病毒</c:v>
                </c:pt>
                <c:pt idx="2">
                  <c:v>网上诈骗</c:v>
                </c:pt>
                <c:pt idx="3">
                  <c:v>个人信息泄露</c:v>
                </c:pt>
                <c:pt idx="4">
                  <c:v>以上均无</c:v>
                </c:pt>
              </c:strCache>
            </c:strRef>
          </c:cat>
          <c:val>
            <c:numRef>
              <c:f>Sheet1!$C$2:$C$6</c:f>
              <c:numCache>
                <c:formatCode>0.0%</c:formatCode>
                <c:ptCount val="5"/>
                <c:pt idx="0">
                  <c:v>0.131297863699166</c:v>
                </c:pt>
                <c:pt idx="1">
                  <c:v>0.109505714055341</c:v>
                </c:pt>
                <c:pt idx="2">
                  <c:v>0.110111254824646</c:v>
                </c:pt>
                <c:pt idx="3">
                  <c:v>0.0635846386295477</c:v>
                </c:pt>
                <c:pt idx="4">
                  <c:v>0.745021734684438</c:v>
                </c:pt>
              </c:numCache>
            </c:numRef>
          </c:val>
        </c:ser>
        <c:dLbls>
          <c:showLegendKey val="0"/>
          <c:showVal val="0"/>
          <c:showCatName val="0"/>
          <c:showSerName val="0"/>
          <c:showPercent val="0"/>
          <c:showBubbleSize val="0"/>
        </c:dLbls>
        <c:gapWidth val="100"/>
        <c:overlap val="-20"/>
        <c:axId val="412637824"/>
        <c:axId val="412844416"/>
      </c:barChart>
      <c:catAx>
        <c:axId val="412637824"/>
        <c:scaling>
          <c:orientation val="maxMin"/>
        </c:scaling>
        <c:delete val="0"/>
        <c:axPos val="l"/>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12844416"/>
        <c:crosses val="autoZero"/>
        <c:auto val="1"/>
        <c:lblAlgn val="ctr"/>
        <c:lblOffset val="100"/>
        <c:noMultiLvlLbl val="0"/>
      </c:catAx>
      <c:valAx>
        <c:axId val="412844416"/>
        <c:scaling>
          <c:orientation val="minMax"/>
        </c:scaling>
        <c:delete val="0"/>
        <c:axPos val="t"/>
        <c:majorGridlines>
          <c:spPr>
            <a:ln w="9525" cap="flat" cmpd="sng" algn="ctr">
              <a:solidFill>
                <a:sysClr val="window" lastClr="FFFFFF">
                  <a:lumMod val="85000"/>
                </a:sysClr>
              </a:solidFill>
              <a:prstDash val="dash"/>
              <a:round/>
            </a:ln>
          </c:spPr>
        </c:majorGridlines>
        <c:numFmt formatCode="0%" sourceLinked="0"/>
        <c:majorTickMark val="in"/>
        <c:minorTickMark val="none"/>
        <c:tickLblPos val="nextTo"/>
        <c:spPr>
          <a:ln w="9525"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12637824"/>
        <c:crosses val="autoZero"/>
        <c:crossBetween val="between"/>
        <c:majorUnit val="0.1"/>
      </c:valAx>
      <c:spPr>
        <a:noFill/>
        <a:ln w="12700">
          <a:noFill/>
        </a:ln>
      </c:spPr>
    </c:plotArea>
    <c:legend>
      <c:legendPos val="b"/>
      <c:layout>
        <c:manualLayout>
          <c:xMode val="edge"/>
          <c:yMode val="edge"/>
          <c:x val="0.220960087670236"/>
          <c:y val="0.921233476447937"/>
          <c:w val="0.560675273088415"/>
          <c:h val="0.0660802544535025"/>
        </c:manualLayout>
      </c:layout>
      <c:overlay val="0"/>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legend>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5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0501079060748"/>
          <c:y val="0.0593053557766702"/>
          <c:w val="0.745318205631446"/>
          <c:h val="0.898480985066671"/>
        </c:manualLayout>
      </c:layout>
      <c:barChart>
        <c:barDir val="bar"/>
        <c:grouping val="clustered"/>
        <c:varyColors val="0"/>
        <c:ser>
          <c:idx val="0"/>
          <c:order val="0"/>
          <c:tx>
            <c:strRef>
              <c:f>Sheet1!$B$1</c:f>
              <c:strCache>
                <c:ptCount val="1"/>
                <c:pt idx="0">
                  <c:v>2021年</c:v>
                </c:pt>
              </c:strCache>
            </c:strRef>
          </c:tx>
          <c:spPr>
            <a:solidFill>
              <a:srgbClr val="5B9BD5"/>
            </a:solidFill>
          </c:spPr>
          <c:invertIfNegative val="0"/>
          <c:dLbls>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Sheet1!$A$2:$A$11</c:f>
              <c:strCache>
                <c:ptCount val="10"/>
                <c:pt idx="0">
                  <c:v>炫耀个人财富或
家庭背景的内容</c:v>
                </c:pt>
                <c:pt idx="1">
                  <c:v>宣扬不劳而获、躺
平等思想的内容</c:v>
                </c:pt>
                <c:pt idx="2">
                  <c:v>血腥暴力或教
唆犯罪的内容</c:v>
                </c:pt>
                <c:pt idx="3">
                  <c:v>歪曲传统文化或
历史人物的内容</c:v>
                </c:pt>
                <c:pt idx="4">
                  <c:v>淫秽色情内容</c:v>
                </c:pt>
                <c:pt idx="5">
                  <c:v>自杀、自残等消
极思想的内容</c:v>
                </c:pt>
                <c:pt idx="6">
                  <c:v>宣扬邪教、封
建迷信的内容</c:v>
                </c:pt>
                <c:pt idx="7">
                  <c:v>宣扬、美化侵略者
或殖民统治的内容</c:v>
                </c:pt>
                <c:pt idx="8">
                  <c:v>含有吸毒和违
禁药物的内容</c:v>
                </c:pt>
                <c:pt idx="9">
                  <c:v>以上均无</c:v>
                </c:pt>
              </c:strCache>
            </c:strRef>
          </c:cat>
          <c:val>
            <c:numRef>
              <c:f>Sheet1!$B$2:$B$11</c:f>
              <c:numCache>
                <c:formatCode>0.0%</c:formatCode>
                <c:ptCount val="10"/>
                <c:pt idx="0">
                  <c:v>0.212319587161605</c:v>
                </c:pt>
                <c:pt idx="1">
                  <c:v>0.162655672062784</c:v>
                </c:pt>
                <c:pt idx="2">
                  <c:v>0.158304739339196</c:v>
                </c:pt>
                <c:pt idx="3">
                  <c:v>0.139686958989371</c:v>
                </c:pt>
                <c:pt idx="4">
                  <c:v>0.134825648732706</c:v>
                </c:pt>
                <c:pt idx="5">
                  <c:v>0.10893457337483</c:v>
                </c:pt>
                <c:pt idx="6">
                  <c:v>0.0907096947496622</c:v>
                </c:pt>
                <c:pt idx="7">
                  <c:v>0.0878861045641424</c:v>
                </c:pt>
                <c:pt idx="8">
                  <c:v>0.0750643604557939</c:v>
                </c:pt>
                <c:pt idx="9">
                  <c:v>0.616509908496652</c:v>
                </c:pt>
              </c:numCache>
            </c:numRef>
          </c:val>
        </c:ser>
        <c:dLbls>
          <c:showLegendKey val="0"/>
          <c:showVal val="0"/>
          <c:showCatName val="0"/>
          <c:showSerName val="0"/>
          <c:showPercent val="0"/>
          <c:showBubbleSize val="0"/>
        </c:dLbls>
        <c:gapWidth val="100"/>
        <c:overlap val="-20"/>
        <c:axId val="412494848"/>
        <c:axId val="412775168"/>
      </c:barChart>
      <c:catAx>
        <c:axId val="412494848"/>
        <c:scaling>
          <c:orientation val="maxMin"/>
        </c:scaling>
        <c:delete val="0"/>
        <c:axPos val="l"/>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12775168"/>
        <c:crosses val="autoZero"/>
        <c:auto val="1"/>
        <c:lblAlgn val="ctr"/>
        <c:lblOffset val="100"/>
        <c:noMultiLvlLbl val="0"/>
      </c:catAx>
      <c:valAx>
        <c:axId val="412775168"/>
        <c:scaling>
          <c:orientation val="minMax"/>
        </c:scaling>
        <c:delete val="0"/>
        <c:axPos val="t"/>
        <c:majorGridlines>
          <c:spPr>
            <a:ln w="9525" cap="flat" cmpd="sng" algn="ctr">
              <a:solidFill>
                <a:sysClr val="window" lastClr="FFFFFF">
                  <a:lumMod val="85000"/>
                </a:sysClr>
              </a:solidFill>
              <a:prstDash val="dash"/>
              <a:round/>
            </a:ln>
          </c:spPr>
        </c:majorGridlines>
        <c:numFmt formatCode="0%" sourceLinked="0"/>
        <c:majorTickMark val="in"/>
        <c:minorTickMark val="none"/>
        <c:tickLblPos val="nextTo"/>
        <c:spPr>
          <a:ln w="9525"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12494848"/>
        <c:crosses val="autoZero"/>
        <c:crossBetween val="between"/>
        <c:majorUnit val="0.1"/>
      </c:valAx>
      <c:spPr>
        <a:noFill/>
        <a:ln w="12700">
          <a:noFill/>
        </a:ln>
      </c:spPr>
    </c:plotArea>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5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hart>
    <c:autoTitleDeleted val="1"/>
    <c:plotArea>
      <c:layout>
        <c:manualLayout>
          <c:layoutTarget val="inner"/>
          <c:xMode val="edge"/>
          <c:yMode val="edge"/>
          <c:x val="0.190202187708027"/>
          <c:y val="0.131747889621905"/>
          <c:w val="0.774767895758903"/>
          <c:h val="0.795634532169965"/>
        </c:manualLayout>
      </c:layout>
      <c:barChart>
        <c:barDir val="bar"/>
        <c:grouping val="clustered"/>
        <c:varyColors val="0"/>
        <c:ser>
          <c:idx val="0"/>
          <c:order val="0"/>
          <c:tx>
            <c:strRef>
              <c:f>Sheet1!$B$1</c:f>
              <c:strCache>
                <c:ptCount val="1"/>
                <c:pt idx="0">
                  <c:v>2016.12</c:v>
                </c:pt>
              </c:strCache>
            </c:strRef>
          </c:tx>
          <c:spPr>
            <a:solidFill>
              <a:srgbClr val="5B9BD5"/>
            </a:solidFill>
            <a:effectLst>
              <a:outerShdw blurRad="38100" dist="12700" dir="5400000" algn="tl" rotWithShape="0">
                <a:prstClr val="black">
                  <a:alpha val="40000"/>
                </a:prstClr>
              </a:outerShdw>
            </a:effectLst>
          </c:spPr>
          <c:invertIfNegative val="0"/>
          <c:dLbls>
            <c:dLbl>
              <c:idx val="1"/>
              <c:layout>
                <c:manualLayout>
                  <c:x val="-2.04254623814059e-7"/>
                  <c:y val="0.0019474270261672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0.0%" sourceLinked="0"/>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Sheet1!$A$2:$A$4</c:f>
              <c:strCache>
                <c:ptCount val="3"/>
                <c:pt idx="0">
                  <c:v>在网上遭到讽刺或谩骂</c:v>
                </c:pt>
                <c:pt idx="1">
                  <c:v>自己或亲友在网上被恶意骚扰</c:v>
                </c:pt>
                <c:pt idx="2">
                  <c:v>个人信息在网上被公开</c:v>
                </c:pt>
              </c:strCache>
            </c:strRef>
          </c:cat>
          <c:val>
            <c:numRef>
              <c:f>Sheet1!$B$2:$B$4</c:f>
              <c:numCache>
                <c:formatCode>0.0%</c:formatCode>
                <c:ptCount val="3"/>
                <c:pt idx="0">
                  <c:v>0.165801430378081</c:v>
                </c:pt>
                <c:pt idx="1">
                  <c:v>0.0698500019309909</c:v>
                </c:pt>
                <c:pt idx="2">
                  <c:v>0.0609423053531608</c:v>
                </c:pt>
              </c:numCache>
            </c:numRef>
          </c:val>
        </c:ser>
        <c:dLbls>
          <c:showLegendKey val="0"/>
          <c:showVal val="0"/>
          <c:showCatName val="0"/>
          <c:showSerName val="0"/>
          <c:showPercent val="0"/>
          <c:showBubbleSize val="0"/>
        </c:dLbls>
        <c:gapWidth val="150"/>
        <c:axId val="424504320"/>
        <c:axId val="424506112"/>
      </c:barChart>
      <c:catAx>
        <c:axId val="424504320"/>
        <c:scaling>
          <c:orientation val="maxMin"/>
        </c:scaling>
        <c:delete val="0"/>
        <c:axPos val="l"/>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24506112"/>
        <c:crosses val="autoZero"/>
        <c:auto val="1"/>
        <c:lblAlgn val="ctr"/>
        <c:lblOffset val="100"/>
        <c:noMultiLvlLbl val="0"/>
      </c:catAx>
      <c:valAx>
        <c:axId val="424506112"/>
        <c:scaling>
          <c:orientation val="minMax"/>
        </c:scaling>
        <c:delete val="0"/>
        <c:axPos val="t"/>
        <c:majorGridlines>
          <c:spPr>
            <a:ln w="6350" cap="flat" cmpd="sng" algn="ctr">
              <a:solidFill>
                <a:sysClr val="window" lastClr="FFFFFF">
                  <a:lumMod val="85000"/>
                </a:sysClr>
              </a:solidFill>
              <a:prstDash val="dash"/>
              <a:round/>
            </a:ln>
          </c:spPr>
        </c:majorGridlines>
        <c:numFmt formatCode="0%" sourceLinked="0"/>
        <c:majorTickMark val="in"/>
        <c:minorTickMark val="none"/>
        <c:tickLblPos val="nextTo"/>
        <c:spPr>
          <a:ln w="6350"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24504320"/>
        <c:crosses val="autoZero"/>
        <c:crossBetween val="between"/>
      </c:valAx>
      <c:spPr>
        <a:noFill/>
        <a:ln w="12700">
          <a:noFill/>
        </a:ln>
      </c:spPr>
    </c:plotArea>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5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hart>
    <c:autoTitleDeleted val="1"/>
    <c:plotArea>
      <c:layout>
        <c:manualLayout>
          <c:layoutTarget val="inner"/>
          <c:xMode val="edge"/>
          <c:yMode val="edge"/>
          <c:x val="0.190202187708027"/>
          <c:y val="0.0957118535858693"/>
          <c:w val="0.774767895758903"/>
          <c:h val="0.845184081719515"/>
        </c:manualLayout>
      </c:layout>
      <c:barChart>
        <c:barDir val="bar"/>
        <c:grouping val="clustered"/>
        <c:varyColors val="0"/>
        <c:ser>
          <c:idx val="0"/>
          <c:order val="0"/>
          <c:tx>
            <c:strRef>
              <c:f>Sheet1!$B$1</c:f>
              <c:strCache>
                <c:ptCount val="1"/>
                <c:pt idx="0">
                  <c:v>2016.12</c:v>
                </c:pt>
              </c:strCache>
            </c:strRef>
          </c:tx>
          <c:spPr>
            <a:solidFill>
              <a:srgbClr val="5B9BD5"/>
            </a:solidFill>
            <a:effectLst>
              <a:outerShdw blurRad="38100" dist="12700" dir="5400000" algn="tl" rotWithShape="0">
                <a:prstClr val="black">
                  <a:alpha val="40000"/>
                </a:prstClr>
              </a:outerShdw>
            </a:effectLst>
          </c:spPr>
          <c:invertIfNegative val="0"/>
          <c:dLbls>
            <c:dLbl>
              <c:idx val="1"/>
              <c:layout>
                <c:manualLayout>
                  <c:x val="-2.04254623814059e-7"/>
                  <c:y val="0.0019474270261672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0.0%" sourceLinked="0"/>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Sheet1!$A$2:$A$7</c:f>
              <c:strCache>
                <c:ptCount val="6"/>
                <c:pt idx="0">
                  <c:v>向父母等亲人寻求帮助</c:v>
                </c:pt>
                <c:pt idx="1">
                  <c:v>向相关机构举报或报案</c:v>
                </c:pt>
                <c:pt idx="2">
                  <c:v>找知心朋友或同学倾诉</c:v>
                </c:pt>
                <c:pt idx="3">
                  <c:v>向老师寻求帮助</c:v>
                </c:pt>
                <c:pt idx="4">
                  <c:v>发布到网上进行倾诉</c:v>
                </c:pt>
                <c:pt idx="5">
                  <c:v>不让任何人知道</c:v>
                </c:pt>
              </c:strCache>
            </c:strRef>
          </c:cat>
          <c:val>
            <c:numRef>
              <c:f>Sheet1!$B$2:$B$7</c:f>
              <c:numCache>
                <c:formatCode>0.0%</c:formatCode>
                <c:ptCount val="6"/>
                <c:pt idx="0">
                  <c:v>0.557783430327193</c:v>
                </c:pt>
                <c:pt idx="1">
                  <c:v>0.45485466991649</c:v>
                </c:pt>
                <c:pt idx="2">
                  <c:v>0.333748715894243</c:v>
                </c:pt>
                <c:pt idx="3">
                  <c:v>0.33208670981498</c:v>
                </c:pt>
                <c:pt idx="4">
                  <c:v>0.121017809187375</c:v>
                </c:pt>
                <c:pt idx="5">
                  <c:v>0.0854356393740436</c:v>
                </c:pt>
              </c:numCache>
            </c:numRef>
          </c:val>
        </c:ser>
        <c:dLbls>
          <c:showLegendKey val="0"/>
          <c:showVal val="0"/>
          <c:showCatName val="0"/>
          <c:showSerName val="0"/>
          <c:showPercent val="0"/>
          <c:showBubbleSize val="0"/>
        </c:dLbls>
        <c:gapWidth val="150"/>
        <c:axId val="424504320"/>
        <c:axId val="424506112"/>
      </c:barChart>
      <c:catAx>
        <c:axId val="424504320"/>
        <c:scaling>
          <c:orientation val="maxMin"/>
        </c:scaling>
        <c:delete val="0"/>
        <c:axPos val="l"/>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24506112"/>
        <c:crosses val="autoZero"/>
        <c:auto val="1"/>
        <c:lblAlgn val="ctr"/>
        <c:lblOffset val="100"/>
        <c:noMultiLvlLbl val="0"/>
      </c:catAx>
      <c:valAx>
        <c:axId val="424506112"/>
        <c:scaling>
          <c:orientation val="minMax"/>
        </c:scaling>
        <c:delete val="0"/>
        <c:axPos val="t"/>
        <c:majorGridlines>
          <c:spPr>
            <a:ln w="6350" cap="flat" cmpd="sng" algn="ctr">
              <a:solidFill>
                <a:sysClr val="window" lastClr="FFFFFF">
                  <a:lumMod val="85000"/>
                </a:sysClr>
              </a:solidFill>
              <a:prstDash val="dash"/>
              <a:round/>
            </a:ln>
          </c:spPr>
        </c:majorGridlines>
        <c:numFmt formatCode="0%" sourceLinked="0"/>
        <c:majorTickMark val="in"/>
        <c:minorTickMark val="none"/>
        <c:tickLblPos val="nextTo"/>
        <c:spPr>
          <a:ln w="6350"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24504320"/>
        <c:crosses val="autoZero"/>
        <c:crossBetween val="between"/>
      </c:valAx>
      <c:spPr>
        <a:noFill/>
        <a:ln w="12700">
          <a:noFill/>
        </a:ln>
      </c:spPr>
    </c:plotArea>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5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1"/>
    </mc:Choice>
    <mc:Fallback>
      <c:style val="11"/>
    </mc:Fallback>
  </mc:AlternateContent>
  <c:chart>
    <c:autoTitleDeleted val="1"/>
    <c:plotArea>
      <c:layout>
        <c:manualLayout>
          <c:layoutTarget val="inner"/>
          <c:xMode val="edge"/>
          <c:yMode val="edge"/>
          <c:x val="0.153176101214299"/>
          <c:y val="0.068467835572598"/>
          <c:w val="0.741607440913868"/>
          <c:h val="0.801488549990731"/>
        </c:manualLayout>
      </c:layout>
      <c:barChart>
        <c:barDir val="col"/>
        <c:grouping val="clustered"/>
        <c:varyColors val="0"/>
        <c:ser>
          <c:idx val="1"/>
          <c:order val="0"/>
          <c:tx>
            <c:strRef>
              <c:f>Sheet1!$B$1</c:f>
              <c:strCache>
                <c:ptCount val="1"/>
                <c:pt idx="0">
                  <c:v>年份</c:v>
                </c:pt>
              </c:strCache>
            </c:strRef>
          </c:tx>
          <c:spPr>
            <a:solidFill>
              <a:srgbClr val="5B9BD5"/>
            </a:solidFill>
            <a:effectLst>
              <a:outerShdw blurRad="38100" dist="12700" dir="5400000" algn="tl" rotWithShape="0">
                <a:prstClr val="black">
                  <a:alpha val="40000"/>
                </a:prstClr>
              </a:outerShdw>
            </a:effectLst>
          </c:spPr>
          <c:invertIfNegative val="0"/>
          <c:dLbls>
            <c:dLbl>
              <c:idx val="0"/>
              <c:layout>
                <c:manualLayout>
                  <c:x val="-0.000534868625292806"/>
                  <c:y val="-4.6295761483715e-17"/>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2020年</c:v>
                </c:pt>
                <c:pt idx="1">
                  <c:v>2021年</c:v>
                </c:pt>
              </c:strCache>
            </c:strRef>
          </c:cat>
          <c:val>
            <c:numRef>
              <c:f>Sheet1!$B$2:$B$3</c:f>
              <c:numCache>
                <c:formatCode>0.0%</c:formatCode>
                <c:ptCount val="2"/>
                <c:pt idx="0">
                  <c:v>0.741</c:v>
                </c:pt>
                <c:pt idx="1">
                  <c:v>0.798</c:v>
                </c:pt>
              </c:numCache>
            </c:numRef>
          </c:val>
        </c:ser>
        <c:dLbls>
          <c:showLegendKey val="0"/>
          <c:showVal val="1"/>
          <c:showCatName val="0"/>
          <c:showSerName val="0"/>
          <c:showPercent val="0"/>
          <c:showBubbleSize val="0"/>
        </c:dLbls>
        <c:gapWidth val="100"/>
        <c:axId val="421863808"/>
        <c:axId val="421865344"/>
      </c:barChart>
      <c:catAx>
        <c:axId val="421863808"/>
        <c:scaling>
          <c:orientation val="minMax"/>
        </c:scaling>
        <c:delete val="0"/>
        <c:axPos val="b"/>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mn-cs"/>
              </a:defRPr>
            </a:pPr>
          </a:p>
        </c:txPr>
        <c:crossAx val="421865344"/>
        <c:crosses val="autoZero"/>
        <c:auto val="1"/>
        <c:lblAlgn val="ctr"/>
        <c:lblOffset val="100"/>
        <c:tickLblSkip val="1"/>
        <c:noMultiLvlLbl val="0"/>
      </c:catAx>
      <c:valAx>
        <c:axId val="421865344"/>
        <c:scaling>
          <c:orientation val="minMax"/>
          <c:max val="1"/>
          <c:min val="0"/>
        </c:scaling>
        <c:delete val="0"/>
        <c:axPos val="l"/>
        <c:majorGridlines>
          <c:spPr>
            <a:ln w="6350" cap="flat" cmpd="sng" algn="ctr">
              <a:solidFill>
                <a:schemeClr val="bg1">
                  <a:lumMod val="85000"/>
                </a:schemeClr>
              </a:solidFill>
              <a:prstDash val="dash"/>
              <a:round/>
            </a:ln>
          </c:spPr>
        </c:majorGridlines>
        <c:numFmt formatCode="0%" sourceLinked="0"/>
        <c:majorTickMark val="in"/>
        <c:minorTickMark val="none"/>
        <c:tickLblPos val="nextTo"/>
        <c:spPr>
          <a:ln w="6350"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21863808"/>
        <c:crosses val="autoZero"/>
        <c:crossBetween val="between"/>
        <c:majorUnit val="0.2"/>
      </c:valAx>
      <c:spPr>
        <a:noFill/>
      </c:spPr>
    </c:plotArea>
    <c:plotVisOnly val="1"/>
    <c:dispBlanksAs val="gap"/>
    <c:showDLblsOverMax val="0"/>
  </c:chart>
  <c:spPr>
    <a:noFill/>
    <a:ln w="6350" cap="flat" cmpd="sng" algn="ctr">
      <a:noFill/>
      <a:prstDash val="solid"/>
      <a:round/>
    </a:ln>
  </c:spPr>
  <c:txPr>
    <a:bodyPr/>
    <a:lstStyle/>
    <a:p>
      <a:pPr>
        <a:defRPr lang="zh-CN">
          <a:latin typeface="微软雅黑" panose="020B0503020204020204" pitchFamily="34" charset="-122"/>
          <a:ea typeface="微软雅黑" panose="020B0503020204020204" pitchFamily="34" charset="-122"/>
        </a:defRPr>
      </a:pPr>
    </a:p>
  </c:txPr>
  <c:externalData r:id="rId1">
    <c:autoUpdate val="0"/>
  </c:externalData>
</c:chartSpace>
</file>

<file path=word/charts/chart5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804062972052012"/>
          <c:y val="0.121279842559685"/>
          <c:w val="0.884620925925926"/>
          <c:h val="0.725737851475703"/>
        </c:manualLayout>
      </c:layout>
      <c:barChart>
        <c:barDir val="col"/>
        <c:grouping val="clustered"/>
        <c:varyColors val="0"/>
        <c:ser>
          <c:idx val="0"/>
          <c:order val="0"/>
          <c:tx>
            <c:strRef>
              <c:f>Sheet1!$B$1</c:f>
              <c:strCache>
                <c:ptCount val="1"/>
                <c:pt idx="0">
                  <c:v>2020年</c:v>
                </c:pt>
              </c:strCache>
            </c:strRef>
          </c:tx>
          <c:spPr>
            <a:solidFill>
              <a:srgbClr val="1F497D">
                <a:lumMod val="60000"/>
                <a:lumOff val="40000"/>
              </a:srgbClr>
            </a:solidFill>
            <a:ln w="12700" cap="flat" cmpd="sng" algn="ctr">
              <a:solidFill>
                <a:schemeClr val="lt1">
                  <a:shade val="95000"/>
                  <a:satMod val="105000"/>
                </a:schemeClr>
              </a:solidFill>
              <a:prstDash val="solid"/>
              <a:round/>
            </a:ln>
          </c:spPr>
          <c:invertIfNegative val="0"/>
          <c:dLbls>
            <c:dLbl>
              <c:idx val="1"/>
              <c:layout>
                <c:manualLayout>
                  <c:x val="-0.00195580714934534"/>
                  <c:y val="0.0045351473922902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430747303814557"/>
                  <c:y val="0.0130101594443552"/>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9.34767191716955e-17"/>
                  <c:y val="0.0045351473922902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4"/>
                <c:pt idx="0">
                  <c:v>小学</c:v>
                </c:pt>
                <c:pt idx="1">
                  <c:v>初中</c:v>
                </c:pt>
                <c:pt idx="2">
                  <c:v>高中</c:v>
                </c:pt>
                <c:pt idx="3">
                  <c:v>中等职业教育</c:v>
                </c:pt>
              </c:strCache>
            </c:strRef>
          </c:cat>
          <c:val>
            <c:numRef>
              <c:f>Sheet1!$B$2:$B$5</c:f>
              <c:numCache>
                <c:formatCode>0.0%</c:formatCode>
                <c:ptCount val="4"/>
                <c:pt idx="0">
                  <c:v>0.651</c:v>
                </c:pt>
                <c:pt idx="1">
                  <c:v>0.835</c:v>
                </c:pt>
                <c:pt idx="2">
                  <c:v>0.853</c:v>
                </c:pt>
                <c:pt idx="3">
                  <c:v>0.842</c:v>
                </c:pt>
              </c:numCache>
            </c:numRef>
          </c:val>
        </c:ser>
        <c:ser>
          <c:idx val="1"/>
          <c:order val="1"/>
          <c:tx>
            <c:strRef>
              <c:f>Sheet1!$C$1</c:f>
              <c:strCache>
                <c:ptCount val="1"/>
                <c:pt idx="0">
                  <c:v>2021年</c:v>
                </c:pt>
              </c:strCache>
            </c:strRef>
          </c:tx>
          <c:spPr>
            <a:solidFill>
              <a:srgbClr val="FF0000">
                <a:alpha val="70000"/>
              </a:srgbClr>
            </a:solidFill>
            <a:ln w="12700" cap="flat" cmpd="sng" algn="ctr">
              <a:solidFill>
                <a:schemeClr val="lt1">
                  <a:shade val="95000"/>
                  <a:satMod val="105000"/>
                </a:schemeClr>
              </a:solidFill>
              <a:prstDash val="solid"/>
              <a:round/>
            </a:ln>
          </c:spPr>
          <c:invertIfNegative val="0"/>
          <c:dLbls>
            <c:dLbl>
              <c:idx val="0"/>
              <c:layout>
                <c:manualLayout>
                  <c:x val="-0.00138490336891447"/>
                  <c:y val="-0.0042376845751424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0783888629600076"/>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00981416519875836"/>
                  <c:y val="0.0045351473922902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0351776295649469"/>
                  <c:y val="0.0057249986608816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0.0%" sourceLinked="0"/>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4"/>
                <c:pt idx="0">
                  <c:v>小学</c:v>
                </c:pt>
                <c:pt idx="1">
                  <c:v>初中</c:v>
                </c:pt>
                <c:pt idx="2">
                  <c:v>高中</c:v>
                </c:pt>
                <c:pt idx="3">
                  <c:v>中等职业教育</c:v>
                </c:pt>
              </c:strCache>
            </c:strRef>
          </c:cat>
          <c:val>
            <c:numRef>
              <c:f>Sheet1!$C$2:$C$5</c:f>
              <c:numCache>
                <c:formatCode>0.0%</c:formatCode>
                <c:ptCount val="4"/>
                <c:pt idx="0">
                  <c:v>0.724791688176542</c:v>
                </c:pt>
                <c:pt idx="1">
                  <c:v>0.892116023804584</c:v>
                </c:pt>
                <c:pt idx="2">
                  <c:v>0.897139906339313</c:v>
                </c:pt>
                <c:pt idx="3">
                  <c:v>0.81824631274641</c:v>
                </c:pt>
              </c:numCache>
            </c:numRef>
          </c:val>
        </c:ser>
        <c:dLbls>
          <c:showLegendKey val="0"/>
          <c:showVal val="0"/>
          <c:showCatName val="0"/>
          <c:showSerName val="0"/>
          <c:showPercent val="0"/>
          <c:showBubbleSize val="0"/>
        </c:dLbls>
        <c:gapWidth val="100"/>
        <c:overlap val="-20"/>
        <c:axId val="401672064"/>
        <c:axId val="401673600"/>
      </c:barChart>
      <c:catAx>
        <c:axId val="401672064"/>
        <c:scaling>
          <c:orientation val="minMax"/>
        </c:scaling>
        <c:delete val="0"/>
        <c:axPos val="b"/>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01673600"/>
        <c:crosses val="autoZero"/>
        <c:auto val="1"/>
        <c:lblAlgn val="ctr"/>
        <c:lblOffset val="100"/>
        <c:noMultiLvlLbl val="0"/>
      </c:catAx>
      <c:valAx>
        <c:axId val="401673600"/>
        <c:scaling>
          <c:orientation val="minMax"/>
          <c:max val="1"/>
          <c:min val="0"/>
        </c:scaling>
        <c:delete val="0"/>
        <c:axPos val="l"/>
        <c:majorGridlines>
          <c:spPr>
            <a:ln w="9525" cap="flat" cmpd="sng" algn="ctr">
              <a:solidFill>
                <a:sysClr val="window" lastClr="FFFFFF">
                  <a:lumMod val="85000"/>
                </a:sysClr>
              </a:solidFill>
              <a:prstDash val="dash"/>
              <a:round/>
            </a:ln>
          </c:spPr>
        </c:majorGridlines>
        <c:numFmt formatCode="0%" sourceLinked="0"/>
        <c:majorTickMark val="in"/>
        <c:minorTickMark val="none"/>
        <c:tickLblPos val="nextTo"/>
        <c:spPr>
          <a:ln w="9525"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01672064"/>
        <c:crosses val="autoZero"/>
        <c:crossBetween val="between"/>
        <c:majorUnit val="0.2"/>
      </c:valAx>
      <c:spPr>
        <a:noFill/>
        <a:ln w="12700">
          <a:noFill/>
        </a:ln>
      </c:spPr>
    </c:plotArea>
    <c:legend>
      <c:legendPos val="b"/>
      <c:layout>
        <c:manualLayout>
          <c:xMode val="edge"/>
          <c:yMode val="edge"/>
          <c:x val="0.173915880017866"/>
          <c:y val="0.920201840403681"/>
          <c:w val="0.648769917144712"/>
          <c:h val="0.0676190476190476"/>
        </c:manualLayout>
      </c:layout>
      <c:overlay val="0"/>
      <c:txPr>
        <a:bodyPr rot="0" spcFirstLastPara="0" vertOverflow="ellipsis" vert="horz" wrap="square" anchor="ctr" anchorCtr="1"/>
        <a:lstStyle/>
        <a:p>
          <a:pPr>
            <a:defRPr lang="zh-CN" sz="900" b="0" i="0" u="none" strike="noStrike" kern="1200" baseline="0">
              <a:solidFill>
                <a:sysClr val="windowText" lastClr="000000"/>
              </a:solidFill>
              <a:latin typeface="黑体" panose="02010609060101010101" charset="-122"/>
              <a:ea typeface="黑体" panose="02010609060101010101" charset="-122"/>
              <a:cs typeface="Arial" panose="020B0604020202020204" pitchFamily="2" charset="0"/>
            </a:defRPr>
          </a:pPr>
        </a:p>
      </c:txPr>
    </c:legend>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5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hart>
    <c:autoTitleDeleted val="1"/>
    <c:plotArea>
      <c:layout>
        <c:manualLayout>
          <c:layoutTarget val="inner"/>
          <c:xMode val="edge"/>
          <c:yMode val="edge"/>
          <c:x val="0.190202187708027"/>
          <c:y val="0.0915185379861059"/>
          <c:w val="0.774767895758903"/>
          <c:h val="0.870445382916415"/>
        </c:manualLayout>
      </c:layout>
      <c:barChart>
        <c:barDir val="bar"/>
        <c:grouping val="clustered"/>
        <c:varyColors val="0"/>
        <c:ser>
          <c:idx val="0"/>
          <c:order val="0"/>
          <c:tx>
            <c:strRef>
              <c:f>Sheet1!$B$1</c:f>
              <c:strCache>
                <c:ptCount val="1"/>
                <c:pt idx="0">
                  <c:v>2016.12</c:v>
                </c:pt>
              </c:strCache>
            </c:strRef>
          </c:tx>
          <c:spPr>
            <a:solidFill>
              <a:srgbClr val="5B9BD5"/>
            </a:solidFill>
            <a:effectLst>
              <a:outerShdw blurRad="38100" dist="12700" dir="5400000" algn="tl" rotWithShape="0">
                <a:prstClr val="black">
                  <a:alpha val="40000"/>
                </a:prstClr>
              </a:outerShdw>
            </a:effectLst>
          </c:spPr>
          <c:invertIfNegative val="0"/>
          <c:dLbls>
            <c:dLbl>
              <c:idx val="1"/>
              <c:layout>
                <c:manualLayout>
                  <c:x val="-2.04254623814059e-7"/>
                  <c:y val="0.0019474270261672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0.0%" sourceLinked="0"/>
            <c:spPr>
              <a:noFill/>
              <a:ln w="25392">
                <a:noFill/>
              </a:ln>
              <a:effectLst/>
            </c:spPr>
            <c:txPr>
              <a:bodyPr rot="0" spcFirstLastPara="0" vertOverflow="ellipsis" vert="horz" wrap="square" lIns="38100" tIns="19050" rIns="38100" bIns="19050" anchor="ctr" anchorCtr="1"/>
              <a:lstStyle/>
              <a:p>
                <a:pPr>
                  <a:defRPr lang="zh-CN" sz="800" b="0" i="0" u="none" strike="noStrike" kern="1200" baseline="0">
                    <a:solidFill>
                      <a:sysClr val="windowText" lastClr="000000"/>
                    </a:solidFill>
                    <a:latin typeface="Arial" panose="020B0604020202020204" pitchFamily="2" charset="0"/>
                    <a:ea typeface="+mn-ea"/>
                    <a:cs typeface="Arial" panose="020B0604020202020204" pitchFamily="2"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Sheet1!$A$2:$A$10</c:f>
              <c:strCache>
                <c:ptCount val="9"/>
                <c:pt idx="0">
                  <c:v>注意识别网络诈骗</c:v>
                </c:pt>
                <c:pt idx="1">
                  <c:v>避免在社交网站发布个人信息</c:v>
                </c:pt>
                <c:pt idx="2">
                  <c:v>不要在网络上辱骂他人，抵制网络暴力</c:v>
                </c:pt>
                <c:pt idx="3">
                  <c:v>避免浏览不良内容</c:v>
                </c:pt>
                <c:pt idx="4">
                  <c:v>避免在网络上过度消费</c:v>
                </c:pt>
                <c:pt idx="5">
                  <c:v>警惕恶意软件</c:v>
                </c:pt>
                <c:pt idx="6">
                  <c:v>注意分辨网络谣言</c:v>
                </c:pt>
                <c:pt idx="7">
                  <c:v>对不良内容进行举报</c:v>
                </c:pt>
                <c:pt idx="8">
                  <c:v>以上均无/没想过这个问题</c:v>
                </c:pt>
              </c:strCache>
            </c:strRef>
          </c:cat>
          <c:val>
            <c:numRef>
              <c:f>Sheet1!$B$2:$B$10</c:f>
              <c:numCache>
                <c:formatCode>0.0%</c:formatCode>
                <c:ptCount val="9"/>
                <c:pt idx="0">
                  <c:v>0.641600345743748</c:v>
                </c:pt>
                <c:pt idx="1">
                  <c:v>0.61780137308697</c:v>
                </c:pt>
                <c:pt idx="2">
                  <c:v>0.572396179604072</c:v>
                </c:pt>
                <c:pt idx="3">
                  <c:v>0.548200691793924</c:v>
                </c:pt>
                <c:pt idx="4">
                  <c:v>0.530300174449679</c:v>
                </c:pt>
                <c:pt idx="5">
                  <c:v>0.526890927404666</c:v>
                </c:pt>
                <c:pt idx="6">
                  <c:v>0.492373583158551</c:v>
                </c:pt>
                <c:pt idx="7">
                  <c:v>0.424557507491953</c:v>
                </c:pt>
                <c:pt idx="8">
                  <c:v>0.199966261259121</c:v>
                </c:pt>
              </c:numCache>
            </c:numRef>
          </c:val>
        </c:ser>
        <c:dLbls>
          <c:showLegendKey val="0"/>
          <c:showVal val="0"/>
          <c:showCatName val="0"/>
          <c:showSerName val="0"/>
          <c:showPercent val="0"/>
          <c:showBubbleSize val="0"/>
        </c:dLbls>
        <c:gapWidth val="150"/>
        <c:axId val="424504320"/>
        <c:axId val="424506112"/>
      </c:barChart>
      <c:catAx>
        <c:axId val="424504320"/>
        <c:scaling>
          <c:orientation val="maxMin"/>
        </c:scaling>
        <c:delete val="0"/>
        <c:axPos val="l"/>
        <c:numFmt formatCode="General" sourceLinked="1"/>
        <c:majorTickMark val="in"/>
        <c:minorTickMark val="none"/>
        <c:tickLblPos val="nextTo"/>
        <c:txPr>
          <a:bodyPr rot="0" spcFirstLastPara="0" vertOverflow="ellipsis" vert="horz" wrap="square" anchor="ctr" anchorCtr="1"/>
          <a:lstStyle/>
          <a:p>
            <a:pPr>
              <a:defRPr lang="zh-CN" sz="900" b="0" i="0" u="none" strike="noStrike" kern="1200" baseline="0">
                <a:solidFill>
                  <a:schemeClr val="tx1"/>
                </a:solidFill>
                <a:latin typeface="黑体" panose="02010609060101010101" charset="-122"/>
                <a:ea typeface="黑体" panose="02010609060101010101" charset="-122"/>
                <a:cs typeface="Arial" panose="020B0604020202020204" pitchFamily="2" charset="0"/>
              </a:defRPr>
            </a:pPr>
          </a:p>
        </c:txPr>
        <c:crossAx val="424506112"/>
        <c:crosses val="autoZero"/>
        <c:auto val="1"/>
        <c:lblAlgn val="ctr"/>
        <c:lblOffset val="100"/>
        <c:noMultiLvlLbl val="0"/>
      </c:catAx>
      <c:valAx>
        <c:axId val="424506112"/>
        <c:scaling>
          <c:orientation val="minMax"/>
        </c:scaling>
        <c:delete val="0"/>
        <c:axPos val="t"/>
        <c:majorGridlines>
          <c:spPr>
            <a:ln w="6350" cap="flat" cmpd="sng" algn="ctr">
              <a:solidFill>
                <a:sysClr val="window" lastClr="FFFFFF">
                  <a:lumMod val="85000"/>
                </a:sysClr>
              </a:solidFill>
              <a:prstDash val="dash"/>
              <a:round/>
            </a:ln>
          </c:spPr>
        </c:majorGridlines>
        <c:numFmt formatCode="0%" sourceLinked="0"/>
        <c:majorTickMark val="in"/>
        <c:minorTickMark val="none"/>
        <c:tickLblPos val="nextTo"/>
        <c:spPr>
          <a:ln w="6350" cap="flat" cmpd="sng" algn="ctr">
            <a:noFill/>
            <a:prstDash val="solid"/>
            <a:round/>
          </a:ln>
        </c:spPr>
        <c:txPr>
          <a:bodyPr rot="-60000000" spcFirstLastPara="0" vertOverflow="ellipsis" vert="horz" wrap="square" anchor="ctr" anchorCtr="1"/>
          <a:lstStyle/>
          <a:p>
            <a:pPr>
              <a:defRPr lang="zh-CN" sz="800" b="0" i="0" u="none" strike="noStrike" kern="1200" baseline="0">
                <a:solidFill>
                  <a:schemeClr val="tx1"/>
                </a:solidFill>
                <a:latin typeface="Arial" panose="020B0604020202020204" pitchFamily="2" charset="0"/>
                <a:ea typeface="+mn-ea"/>
                <a:cs typeface="Arial" panose="020B0604020202020204" pitchFamily="2" charset="0"/>
              </a:defRPr>
            </a:pPr>
          </a:p>
        </c:txPr>
        <c:crossAx val="424504320"/>
        <c:crosses val="autoZero"/>
        <c:crossBetween val="between"/>
      </c:valAx>
      <c:spPr>
        <a:noFill/>
        <a:ln w="12700">
          <a:noFill/>
        </a:ln>
      </c:spPr>
    </c:plotArea>
    <c:plotVisOnly val="1"/>
    <c:dispBlanksAs val="gap"/>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hart5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0"/>
    </mc:Choice>
    <mc:Fallback>
      <c:style val="10"/>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77765931432484"/>
          <c:y val="0.0791836220472441"/>
          <c:w val="0.440739472783293"/>
          <c:h val="0.851508661417323"/>
        </c:manualLayout>
      </c:layout>
      <c:pieChart>
        <c:varyColors val="1"/>
        <c:ser>
          <c:idx val="0"/>
          <c:order val="0"/>
          <c:tx>
            <c:strRef>
              <c:f>Sheet1!$B$1</c:f>
              <c:strCache>
                <c:ptCount val="1"/>
                <c:pt idx="0">
                  <c:v>列2</c:v>
                </c:pt>
              </c:strCache>
            </c:strRef>
          </c:tx>
          <c:spPr>
            <a:solidFill>
              <a:srgbClr val="558ED5"/>
            </a:solidFill>
            <a:ln w="9525" cap="flat" cmpd="sng" algn="ctr">
              <a:solidFill>
                <a:srgbClr val="FFFFFF"/>
              </a:solidFill>
              <a:prstDash val="solid"/>
              <a:round/>
            </a:ln>
          </c:spPr>
          <c:explosion val="0"/>
          <c:dPt>
            <c:idx val="0"/>
            <c:bubble3D val="0"/>
            <c:spPr>
              <a:solidFill>
                <a:srgbClr val="558ED5"/>
              </a:solidFill>
              <a:ln w="9525" cap="flat" cmpd="sng" algn="ctr">
                <a:solidFill>
                  <a:srgbClr val="FFFFFF"/>
                </a:solidFill>
                <a:prstDash val="solid"/>
                <a:round/>
              </a:ln>
            </c:spPr>
          </c:dPt>
          <c:dPt>
            <c:idx val="1"/>
            <c:bubble3D val="0"/>
            <c:spPr>
              <a:solidFill>
                <a:srgbClr val="C6D9F1"/>
              </a:solidFill>
              <a:ln w="9525" cap="flat" cmpd="sng" algn="ctr">
                <a:solidFill>
                  <a:srgbClr val="FFFFFF"/>
                </a:solidFill>
                <a:prstDash val="solid"/>
                <a:round/>
              </a:ln>
            </c:spPr>
          </c:dPt>
          <c:dLbls>
            <c:dLbl>
              <c:idx val="0"/>
              <c:layout>
                <c:manualLayout>
                  <c:x val="-0.0594436564994594"/>
                  <c:y val="-0.278450393700787"/>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039790243610853"/>
                  <c:y val="0.248563513808562"/>
                </c:manualLayout>
              </c:layout>
              <c:dLblPos val="bestFit"/>
              <c:showLegendKey val="0"/>
              <c:showVal val="1"/>
              <c:showCatName val="1"/>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Arial" panose="020B0604020202020204" pitchFamily="2" charset="0"/>
                    <a:ea typeface="黑体" panose="02010609060101010101" charset="-122"/>
                    <a:cs typeface="Arial" panose="020B0604020202020204" pitchFamily="2" charset="0"/>
                  </a:defRPr>
                </a:pPr>
              </a:p>
            </c:txPr>
            <c:dLblPos val="bestFit"/>
            <c:showLegendKey val="0"/>
            <c:showVal val="1"/>
            <c:showCatName val="1"/>
            <c:showSerName val="0"/>
            <c:showPercent val="0"/>
            <c:showBubbleSize val="0"/>
            <c:showLeaderLines val="1"/>
            <c:extLst>
              <c:ext xmlns:c15="http://schemas.microsoft.com/office/drawing/2012/chart" uri="{CE6537A1-D6FC-4f65-9D91-7224C49458BB}">
                <c15:layout/>
                <c15:showLeaderLines val="1"/>
                <c15:leaderLines/>
              </c:ext>
            </c:extLst>
          </c:dLbls>
          <c:cat>
            <c:strRef>
              <c:f>Sheet1!$A$2:$A$3</c:f>
              <c:strCache>
                <c:ptCount val="2"/>
                <c:pt idx="0">
                  <c:v>有所关注</c:v>
                </c:pt>
                <c:pt idx="1">
                  <c:v>没有关注</c:v>
                </c:pt>
              </c:strCache>
            </c:strRef>
          </c:cat>
          <c:val>
            <c:numRef>
              <c:f>Sheet1!$B$2:$B$3</c:f>
              <c:numCache>
                <c:formatCode>0.0%</c:formatCode>
                <c:ptCount val="2"/>
                <c:pt idx="0">
                  <c:v>0.663036010669256</c:v>
                </c:pt>
                <c:pt idx="1">
                  <c:v>0.336963989330744</c:v>
                </c:pt>
              </c:numCache>
            </c:numRef>
          </c:val>
        </c:ser>
        <c:dLbls>
          <c:showLegendKey val="0"/>
          <c:showVal val="0"/>
          <c:showCatName val="0"/>
          <c:showSerName val="0"/>
          <c:showPercent val="0"/>
          <c:showBubbleSize val="0"/>
          <c:showLeaderLines val="1"/>
        </c:dLbls>
        <c:firstSliceAng val="45"/>
      </c:pieChart>
      <c:spPr>
        <a:noFill/>
        <a:ln w="12700">
          <a:noFill/>
        </a:ln>
      </c:spPr>
    </c:plotArea>
    <c:plotVisOnly val="1"/>
    <c:dispBlanksAs val="zero"/>
    <c:showDLblsOverMax val="0"/>
  </c:chart>
  <c:spPr>
    <a:noFill/>
    <a:ln w="12700" cap="flat" cmpd="sng" algn="ctr">
      <a:noFill/>
      <a:prstDash val="solid"/>
      <a:round/>
    </a:ln>
  </c:spPr>
  <c:txPr>
    <a:bodyPr/>
    <a:lstStyle/>
    <a:p>
      <a:pPr>
        <a:defRPr lang="zh-CN" sz="900">
          <a:latin typeface="Arial" panose="020B0604020202020204" pitchFamily="2" charset="0"/>
          <a:ea typeface="+mn-ea"/>
          <a:cs typeface="Arial" panose="020B0604020202020204" pitchFamily="2"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withinLinear" id="14">
  <a:schemeClr val="accent1"/>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0.02888</cdr:x>
      <cdr:y>0.08604</cdr:y>
    </cdr:from>
    <cdr:to>
      <cdr:x>0.17091</cdr:x>
      <cdr:y>0.15594</cdr:y>
    </cdr:to>
    <cdr:sp>
      <cdr:nvSpPr>
        <cdr:cNvPr id="2" name="矩形 1"/>
        <cdr:cNvSpPr/>
      </cdr:nvSpPr>
      <cdr:spPr xmlns:a="http://schemas.openxmlformats.org/drawingml/2006/main">
        <a:xfrm xmlns:a="http://schemas.openxmlformats.org/drawingml/2006/main">
          <a:off x="141392" y="247498"/>
          <a:ext cx="695370" cy="201075"/>
        </a:xfrm>
        <a:prstGeom xmlns:a="http://schemas.openxmlformats.org/drawingml/2006/main" prst="rect">
          <a:avLst/>
        </a:prstGeom>
      </cdr:spPr>
      <cdr:txBody xmlns:a="http://schemas.openxmlformats.org/drawingml/2006/main">
        <a:bodyPr vert="horz" wrap="square" lIns="0" tIns="0" rIns="0" bIns="0" rtlCol="0" anchor="t" anchorCtr="0">
          <a:normAutofit/>
        </a:bodyPr>
        <a:lstStyle>
          <a:lvl1pPr marL="0" indent="0">
            <a:defRPr sz="1100">
              <a:latin typeface="Calibri" panose="020F0502020204030204"/>
            </a:defRPr>
          </a:lvl1pPr>
          <a:lvl2pPr marL="457200" indent="0">
            <a:defRPr sz="1100">
              <a:latin typeface="Calibri" panose="020F0502020204030204"/>
            </a:defRPr>
          </a:lvl2pPr>
          <a:lvl3pPr marL="914400" indent="0">
            <a:defRPr sz="1100">
              <a:latin typeface="Calibri" panose="020F0502020204030204"/>
            </a:defRPr>
          </a:lvl3pPr>
          <a:lvl4pPr marL="1371600" indent="0">
            <a:defRPr sz="1100">
              <a:latin typeface="Calibri" panose="020F0502020204030204"/>
            </a:defRPr>
          </a:lvl4pPr>
          <a:lvl5pPr marL="1828800" indent="0">
            <a:defRPr sz="1100">
              <a:latin typeface="Calibri" panose="020F0502020204030204"/>
            </a:defRPr>
          </a:lvl5pPr>
          <a:lvl6pPr marL="2286000" indent="0">
            <a:defRPr sz="1100">
              <a:latin typeface="Calibri" panose="020F0502020204030204"/>
            </a:defRPr>
          </a:lvl6pPr>
          <a:lvl7pPr marL="2743200" indent="0">
            <a:defRPr sz="1100">
              <a:latin typeface="Calibri" panose="020F0502020204030204"/>
            </a:defRPr>
          </a:lvl7pPr>
          <a:lvl8pPr marL="3200400" indent="0">
            <a:defRPr sz="1100">
              <a:latin typeface="Calibri" panose="020F0502020204030204"/>
            </a:defRPr>
          </a:lvl8pPr>
          <a:lvl9pPr marL="3657600" indent="0">
            <a:defRPr sz="1100">
              <a:latin typeface="Calibri" panose="020F0502020204030204"/>
            </a:defRPr>
          </a:lvl9pPr>
        </a:lstStyle>
        <a:p>
          <a:r>
            <a:rPr lang="zh-CN" altLang="en-US" sz="900" b="0">
              <a:latin typeface="黑体" panose="02010609060101010101" charset="-122"/>
              <a:ea typeface="黑体" panose="02010609060101010101" charset="-122"/>
            </a:rPr>
            <a:t>单位：万人</a:t>
          </a:r>
          <a:endParaRPr lang="zh-CN" altLang="en-US" sz="900" b="0">
            <a:latin typeface="黑体" panose="02010609060101010101" charset="-122"/>
            <a:ea typeface="黑体" panose="02010609060101010101" charset="-122"/>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65</Pages>
  <Words>15434</Words>
  <Characters>16956</Characters>
  <Lines>150</Lines>
  <Paragraphs>42</Paragraphs>
  <TotalTime>0</TotalTime>
  <ScaleCrop>false</ScaleCrop>
  <LinksUpToDate>false</LinksUpToDate>
  <CharactersWithSpaces>17223</CharactersWithSpaces>
  <Application>WPS Office_11.1.0.12651_F1E327BC-269C-435d-A152-05C5408002CA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2021-06-10T06:55:00Z</dcterms:created>
  <dc:creator>郭悦</dc:creator>
  <cp:lastModifiedBy>风信子</cp:lastModifiedBy>
  <cp:lastPrinted>2022-11-03T09:53:00Z</cp:lastPrinted>
  <dcterms:modified xsi:type="dcterms:W3CDTF">2022-11-23T14:39:52Z</dcterms:modified>
  <cp:revision>723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2052-11.1.0.12651</vt:lpwstr>
  </property>
  <property fmtid="{D5CDD505-2E9C-101B-9397-08002B2CF9AE}" pid="3" name="ICV">
    <vt:lpwstr>62E9645EB6C74AA2BD0F20D941BFE88B</vt:lpwstr>
  </property>
</Properties>
</file>